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40" w:rsidRDefault="00E20D40" w:rsidP="00E20D40">
      <w:pPr>
        <w:pStyle w:val="PlainText"/>
        <w:jc w:val="both"/>
        <w:rPr>
          <w:rFonts w:ascii="Arial" w:hAnsi="Arial" w:cs="Arial"/>
          <w:sz w:val="24"/>
          <w:szCs w:val="24"/>
        </w:rPr>
      </w:pPr>
    </w:p>
    <w:p w:rsidR="00E20D40" w:rsidRPr="00E20D40" w:rsidRDefault="00E20D40" w:rsidP="00E20D40">
      <w:pPr>
        <w:pStyle w:val="PlainText"/>
        <w:jc w:val="both"/>
        <w:rPr>
          <w:rFonts w:ascii="Arial" w:hAnsi="Arial" w:cs="Arial"/>
          <w:b/>
          <w:sz w:val="24"/>
          <w:szCs w:val="24"/>
        </w:rPr>
      </w:pPr>
      <w:r w:rsidRPr="00E20D40">
        <w:rPr>
          <w:rFonts w:ascii="Arial" w:hAnsi="Arial" w:cs="Arial"/>
          <w:b/>
          <w:color w:val="0070C0"/>
          <w:sz w:val="24"/>
          <w:szCs w:val="24"/>
        </w:rPr>
        <w:t>The Disputes Process</w:t>
      </w:r>
    </w:p>
    <w:p w:rsidR="00E20D40" w:rsidRDefault="00E20D40" w:rsidP="00E20D40">
      <w:pPr>
        <w:pStyle w:val="PlainText"/>
        <w:jc w:val="both"/>
        <w:rPr>
          <w:rFonts w:ascii="Arial" w:hAnsi="Arial" w:cs="Arial"/>
          <w:sz w:val="24"/>
          <w:szCs w:val="24"/>
        </w:rPr>
      </w:pPr>
      <w:r>
        <w:rPr>
          <w:rFonts w:ascii="Arial" w:hAnsi="Arial" w:cs="Arial"/>
          <w:sz w:val="24"/>
          <w:szCs w:val="24"/>
        </w:rPr>
        <w:t xml:space="preserve">The Citizens Advice Extra Help Unit is strongly committed to working with industry so that consumers receive the highest standards of service and to reduce the overall number of consumer complaints we receive. The complaint data that we produce is an important measure of the performance of companies. The primary objective of the dispute process is to ensure that this data is as robust, accurate and reliable as possible. </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The formal Complaint Dispute Process enables companies to question, in appropriate cases, whether mistakes may have been made in the way a complaint was logged or handled. This includes whether the appropriate category code has been chosen, or if the case should be recorded as a complaint or enquiry.</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This document is designed to explain the role of the disputes process and how it should be used by energy companies. The document also introduces a change to the process regarding self-disconnection cases that will take effect from 1</w:t>
      </w:r>
      <w:r>
        <w:rPr>
          <w:rFonts w:ascii="Arial" w:hAnsi="Arial" w:cs="Arial"/>
          <w:sz w:val="24"/>
          <w:szCs w:val="24"/>
          <w:vertAlign w:val="superscript"/>
        </w:rPr>
        <w:t>st</w:t>
      </w:r>
      <w:r>
        <w:rPr>
          <w:rFonts w:ascii="Arial" w:hAnsi="Arial" w:cs="Arial"/>
          <w:sz w:val="24"/>
          <w:szCs w:val="24"/>
        </w:rPr>
        <w:t xml:space="preserve"> April 2017.</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outlineLvl w:val="2"/>
        <w:rPr>
          <w:rFonts w:ascii="Arial" w:hAnsi="Arial" w:cs="Arial"/>
          <w:b/>
          <w:color w:val="0070C0"/>
          <w:sz w:val="24"/>
          <w:szCs w:val="24"/>
        </w:rPr>
      </w:pPr>
      <w:bookmarkStart w:id="0" w:name="_Toc229375970"/>
      <w:r>
        <w:rPr>
          <w:rFonts w:ascii="Arial" w:hAnsi="Arial" w:cs="Arial"/>
          <w:b/>
          <w:color w:val="0070C0"/>
          <w:sz w:val="24"/>
          <w:szCs w:val="24"/>
        </w:rPr>
        <w:t>Principles</w:t>
      </w:r>
      <w:bookmarkEnd w:id="0"/>
      <w:r>
        <w:rPr>
          <w:rFonts w:ascii="Arial" w:hAnsi="Arial" w:cs="Arial"/>
          <w:b/>
          <w:color w:val="0070C0"/>
          <w:sz w:val="24"/>
          <w:szCs w:val="24"/>
        </w:rPr>
        <w:t xml:space="preserve"> </w:t>
      </w:r>
    </w:p>
    <w:p w:rsidR="00E20D40" w:rsidRDefault="00E20D40" w:rsidP="00E20D40">
      <w:pPr>
        <w:pStyle w:val="PlainText"/>
        <w:jc w:val="both"/>
        <w:rPr>
          <w:rFonts w:ascii="Arial" w:hAnsi="Arial" w:cs="Arial"/>
          <w:sz w:val="24"/>
          <w:szCs w:val="24"/>
        </w:rPr>
      </w:pPr>
      <w:r>
        <w:rPr>
          <w:rFonts w:ascii="Arial" w:hAnsi="Arial" w:cs="Arial"/>
          <w:sz w:val="24"/>
          <w:szCs w:val="24"/>
        </w:rPr>
        <w:t xml:space="preserve">There are two important principles upon which the Complaints Dispute Process has been built. </w:t>
      </w:r>
    </w:p>
    <w:p w:rsidR="00E20D40" w:rsidRDefault="00E20D40" w:rsidP="00E20D40">
      <w:pPr>
        <w:rPr>
          <w:rFonts w:ascii="Arial" w:hAnsi="Arial" w:cs="Arial"/>
          <w:b/>
          <w:color w:val="FF0000"/>
          <w:sz w:val="24"/>
          <w:szCs w:val="24"/>
        </w:rPr>
      </w:pPr>
    </w:p>
    <w:p w:rsidR="00E20D40" w:rsidRPr="00E20D40" w:rsidRDefault="00E20D40" w:rsidP="00E20D40">
      <w:pPr>
        <w:rPr>
          <w:rFonts w:ascii="Arial" w:hAnsi="Arial" w:cs="Arial"/>
          <w:b/>
          <w:color w:val="FF0000"/>
          <w:sz w:val="24"/>
          <w:szCs w:val="24"/>
        </w:rPr>
      </w:pPr>
      <w:r w:rsidRPr="00E20D40">
        <w:rPr>
          <w:rFonts w:ascii="Arial" w:hAnsi="Arial" w:cs="Arial"/>
          <w:b/>
          <w:color w:val="FF0000"/>
          <w:sz w:val="24"/>
          <w:szCs w:val="24"/>
        </w:rPr>
        <w:t>The dispute process must be completely invisible to consumers</w:t>
      </w:r>
    </w:p>
    <w:p w:rsidR="00E20D40" w:rsidRDefault="00E20D40" w:rsidP="00E20D40">
      <w:pPr>
        <w:pStyle w:val="PlainText"/>
        <w:jc w:val="both"/>
        <w:rPr>
          <w:rFonts w:ascii="Arial" w:hAnsi="Arial" w:cs="Arial"/>
          <w:sz w:val="24"/>
          <w:szCs w:val="24"/>
        </w:rPr>
      </w:pPr>
      <w:r>
        <w:rPr>
          <w:rFonts w:ascii="Arial" w:hAnsi="Arial" w:cs="Arial"/>
          <w:sz w:val="24"/>
          <w:szCs w:val="24"/>
        </w:rPr>
        <w:t xml:space="preserve">The dispute process must not detrimentally affect how a consumer’s complaint is handled. When a complaint is disputed, the complaint itself must continue to be investigated in a thorough and effective manner. Even if another company needs to take action to resolve a situation, we would expect the supplier contacted to address any points that are relevant to them. Companies must never involve the consumer in the process of gathering evidence for a dispute. </w:t>
      </w:r>
    </w:p>
    <w:p w:rsidR="00E20D40" w:rsidRDefault="00E20D40" w:rsidP="00E20D40">
      <w:pPr>
        <w:pStyle w:val="PlainText"/>
        <w:spacing w:after="0"/>
        <w:jc w:val="both"/>
        <w:rPr>
          <w:rFonts w:ascii="Arial" w:hAnsi="Arial" w:cs="Arial"/>
          <w:b/>
          <w:color w:val="FF0000"/>
          <w:sz w:val="24"/>
          <w:szCs w:val="24"/>
        </w:rPr>
      </w:pPr>
    </w:p>
    <w:p w:rsidR="00E20D40" w:rsidRDefault="00E20D40" w:rsidP="00E20D40">
      <w:pPr>
        <w:pStyle w:val="PlainText"/>
        <w:spacing w:after="0"/>
        <w:jc w:val="both"/>
        <w:rPr>
          <w:rFonts w:ascii="Arial" w:hAnsi="Arial" w:cs="Arial"/>
          <w:b/>
          <w:color w:val="FF0000"/>
          <w:sz w:val="24"/>
          <w:szCs w:val="24"/>
        </w:rPr>
      </w:pPr>
    </w:p>
    <w:p w:rsidR="00E20D40" w:rsidRDefault="00E20D40" w:rsidP="00E20D40">
      <w:pPr>
        <w:pStyle w:val="PlainText"/>
        <w:spacing w:after="0"/>
        <w:jc w:val="both"/>
        <w:rPr>
          <w:rFonts w:ascii="Arial" w:hAnsi="Arial" w:cs="Arial"/>
          <w:b/>
          <w:sz w:val="24"/>
          <w:szCs w:val="24"/>
        </w:rPr>
      </w:pPr>
      <w:r>
        <w:rPr>
          <w:rFonts w:ascii="Arial" w:hAnsi="Arial" w:cs="Arial"/>
          <w:b/>
          <w:color w:val="FF0000"/>
          <w:sz w:val="24"/>
          <w:szCs w:val="24"/>
        </w:rPr>
        <w:t>Industry must ensure that there is no abuse of the dispute process</w:t>
      </w:r>
      <w:r>
        <w:rPr>
          <w:rFonts w:ascii="Arial" w:hAnsi="Arial" w:cs="Arial"/>
          <w:b/>
          <w:sz w:val="24"/>
          <w:szCs w:val="24"/>
        </w:rPr>
        <w:t xml:space="preserve"> </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In the interests of all parties, frivolous or unfounded challenges to consumer complaints will not be permitted. Any dispute arising over a complaint which lacks clear supporting evidence will not be considered by the Extra Help Unit. We will closely monitor company use of the dispute process and will not hesitate to deal with any abuses of the system. </w:t>
      </w:r>
    </w:p>
    <w:p w:rsidR="00E20D40" w:rsidRDefault="00E20D40"/>
    <w:p w:rsidR="00E20D40" w:rsidRDefault="00E20D40" w:rsidP="00E20D40">
      <w:pPr>
        <w:pStyle w:val="PlainText"/>
        <w:jc w:val="both"/>
        <w:outlineLvl w:val="2"/>
        <w:rPr>
          <w:rFonts w:ascii="Arial" w:hAnsi="Arial" w:cs="Arial"/>
          <w:b/>
          <w:color w:val="0070C0"/>
          <w:sz w:val="24"/>
          <w:szCs w:val="24"/>
        </w:rPr>
      </w:pPr>
      <w:r>
        <w:rPr>
          <w:rFonts w:ascii="Arial" w:hAnsi="Arial" w:cs="Arial"/>
          <w:b/>
          <w:color w:val="0070C0"/>
          <w:sz w:val="24"/>
          <w:szCs w:val="24"/>
        </w:rPr>
        <w:t>Why might it be appropriate to use the disputes process?</w:t>
      </w:r>
    </w:p>
    <w:p w:rsidR="00E20D40" w:rsidRDefault="00E20D40" w:rsidP="00E20D40">
      <w:pPr>
        <w:pStyle w:val="PlainText"/>
        <w:jc w:val="both"/>
        <w:outlineLvl w:val="2"/>
        <w:rPr>
          <w:rFonts w:ascii="Arial" w:hAnsi="Arial" w:cs="Arial"/>
          <w:b/>
          <w:color w:val="0070C0"/>
          <w:sz w:val="24"/>
          <w:szCs w:val="24"/>
        </w:rPr>
      </w:pPr>
    </w:p>
    <w:p w:rsidR="00E20D40" w:rsidRDefault="00E20D40" w:rsidP="00E20D40">
      <w:pPr>
        <w:rPr>
          <w:rFonts w:ascii="Arial" w:hAnsi="Arial" w:cs="Arial"/>
          <w:sz w:val="24"/>
          <w:szCs w:val="24"/>
        </w:rPr>
      </w:pPr>
      <w:r>
        <w:rPr>
          <w:rFonts w:ascii="Arial" w:hAnsi="Arial" w:cs="Arial"/>
          <w:sz w:val="24"/>
          <w:szCs w:val="24"/>
        </w:rPr>
        <w:t>There are a number of reasons why it may be appropriate to dispute how a case has been logged by the Extra Help Unit</w:t>
      </w:r>
    </w:p>
    <w:p w:rsidR="00E20D40" w:rsidRDefault="00E20D40" w:rsidP="00E20D40">
      <w:pPr>
        <w:pStyle w:val="PlainText"/>
        <w:jc w:val="both"/>
        <w:outlineLvl w:val="2"/>
        <w:rPr>
          <w:rFonts w:ascii="Arial" w:hAnsi="Arial" w:cs="Arial"/>
          <w:b/>
          <w:color w:val="0070C0"/>
          <w:sz w:val="24"/>
          <w:szCs w:val="24"/>
        </w:rPr>
      </w:pPr>
      <w:r>
        <w:rPr>
          <w:rFonts w:ascii="Arial" w:hAnsi="Arial" w:cs="Arial"/>
          <w:b/>
          <w:color w:val="0070C0"/>
          <w:sz w:val="24"/>
          <w:szCs w:val="24"/>
        </w:rPr>
        <w:t>Customer contact</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Citizens Advice aims to develop confident and assertive consumers who know their rights and feel able to demand the services they expect from their energy companies.  If a consumer has not contacted their supplier or given the company a reasonable opportunity to respond to the concerns they have raised, then the Extra Help Unit would log the case as an enquiry, rather than a complaint. </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Should an energy company wish to dispute a complaint on this basis then clear evidence must be provided. Any evidence a company produces will need to remove any reasonable doubt that no prior contact has taken place, or how much time the company has had to deal with a situation. The Extra Help Unit will also take into account any information provided by the consumer when making a decision.</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The final decision in all cases will rest with the Extra Help Unit. </w:t>
      </w:r>
    </w:p>
    <w:p w:rsidR="00E20D40" w:rsidRDefault="00E20D40" w:rsidP="00E20D40"/>
    <w:p w:rsidR="00E20D40" w:rsidRDefault="00E20D40" w:rsidP="00E20D40">
      <w:pPr>
        <w:pStyle w:val="PlainText"/>
        <w:jc w:val="both"/>
        <w:outlineLvl w:val="2"/>
        <w:rPr>
          <w:rFonts w:ascii="Arial" w:hAnsi="Arial" w:cs="Arial"/>
          <w:b/>
          <w:color w:val="0070C0"/>
          <w:sz w:val="24"/>
          <w:szCs w:val="24"/>
        </w:rPr>
      </w:pPr>
      <w:r>
        <w:rPr>
          <w:rFonts w:ascii="Arial" w:hAnsi="Arial" w:cs="Arial"/>
          <w:b/>
          <w:color w:val="0070C0"/>
          <w:sz w:val="24"/>
          <w:szCs w:val="24"/>
        </w:rPr>
        <w:t xml:space="preserve">Categorisation </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The Extra Help Unit categorises its complaints based on the consumer’s information and the Caseworker’s view of the matter. </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As a consumer organisation, it is vital that our complaint data reflects as closely as possible the consumer experience. Complaints are categorised at the initial point of contact with the consumer and our Caseworkers use their knowledge and experience to determine how this information can be accurately categorised. </w:t>
      </w:r>
    </w:p>
    <w:p w:rsidR="00E20D40" w:rsidRDefault="00E20D40" w:rsidP="00E20D40"/>
    <w:p w:rsidR="00E20D40" w:rsidRDefault="00E20D40" w:rsidP="00E20D40">
      <w:r>
        <w:rPr>
          <w:rFonts w:ascii="Arial" w:hAnsi="Arial" w:cs="Arial"/>
          <w:sz w:val="24"/>
          <w:szCs w:val="24"/>
        </w:rPr>
        <w:t xml:space="preserve">To categorise information in any other way would be to distort the consumer experience. The disputes process allows companies to provide evidence that a case has been incorrectly categorised, so there is an opportunity for these to be corrected. </w:t>
      </w:r>
      <w:r w:rsidRPr="00E20D40">
        <w:rPr>
          <w:rFonts w:ascii="Arial" w:hAnsi="Arial" w:cs="Arial"/>
          <w:sz w:val="24"/>
          <w:szCs w:val="24"/>
        </w:rPr>
        <w:t xml:space="preserve">A list of the categories used by Citizens Advice can be found by </w:t>
      </w:r>
      <w:hyperlink r:id="rId6" w:history="1">
        <w:r w:rsidRPr="00E20D40">
          <w:rPr>
            <w:rStyle w:val="Hyperlink"/>
            <w:rFonts w:ascii="Arial" w:hAnsi="Arial" w:cs="Arial"/>
            <w:sz w:val="24"/>
            <w:szCs w:val="24"/>
          </w:rPr>
          <w:t>clic</w:t>
        </w:r>
        <w:r w:rsidRPr="00E20D40">
          <w:rPr>
            <w:rStyle w:val="Hyperlink"/>
            <w:rFonts w:ascii="Arial" w:hAnsi="Arial" w:cs="Arial"/>
            <w:sz w:val="24"/>
            <w:szCs w:val="24"/>
          </w:rPr>
          <w:t>k</w:t>
        </w:r>
        <w:r w:rsidRPr="00E20D40">
          <w:rPr>
            <w:rStyle w:val="Hyperlink"/>
            <w:rFonts w:ascii="Arial" w:hAnsi="Arial" w:cs="Arial"/>
            <w:sz w:val="24"/>
            <w:szCs w:val="24"/>
          </w:rPr>
          <w:t>ing here</w:t>
        </w:r>
      </w:hyperlink>
      <w:r>
        <w:rPr>
          <w:rStyle w:val="Hyperlink"/>
          <w:rFonts w:ascii="Arial" w:hAnsi="Arial" w:cs="Arial"/>
          <w:sz w:val="24"/>
          <w:szCs w:val="24"/>
        </w:rPr>
        <w:t>.</w:t>
      </w:r>
    </w:p>
    <w:p w:rsidR="00E20D40" w:rsidRDefault="00E20D40" w:rsidP="00E20D40"/>
    <w:p w:rsidR="00E20D40" w:rsidRDefault="00E20D40" w:rsidP="00E20D40">
      <w:pPr>
        <w:pStyle w:val="PlainText"/>
        <w:jc w:val="both"/>
        <w:outlineLvl w:val="2"/>
        <w:rPr>
          <w:rFonts w:ascii="Arial" w:hAnsi="Arial" w:cs="Arial"/>
          <w:b/>
          <w:color w:val="0070C0"/>
          <w:sz w:val="24"/>
          <w:szCs w:val="24"/>
        </w:rPr>
      </w:pPr>
      <w:r>
        <w:rPr>
          <w:rFonts w:ascii="Arial" w:hAnsi="Arial" w:cs="Arial"/>
          <w:b/>
          <w:color w:val="0070C0"/>
          <w:sz w:val="24"/>
          <w:szCs w:val="24"/>
        </w:rPr>
        <w:t xml:space="preserve">Incorrectly Assigned Complaint </w:t>
      </w:r>
    </w:p>
    <w:p w:rsidR="00E20D40" w:rsidRDefault="00E20D40" w:rsidP="00E20D40">
      <w:pPr>
        <w:pStyle w:val="PlainText"/>
        <w:jc w:val="both"/>
        <w:rPr>
          <w:rFonts w:ascii="Arial" w:hAnsi="Arial" w:cs="Arial"/>
          <w:b/>
          <w:color w:val="0070C0"/>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If a company receives a case which has been incorrectly assigned to them, and should be assigned to another company, they should provide evidence to support this. </w:t>
      </w:r>
    </w:p>
    <w:p w:rsidR="00E20D40" w:rsidRDefault="00E20D40" w:rsidP="00E20D40">
      <w:pPr>
        <w:pStyle w:val="PlainText"/>
        <w:jc w:val="both"/>
        <w:rPr>
          <w:rFonts w:ascii="Arial" w:hAnsi="Arial" w:cs="Arial"/>
          <w:sz w:val="24"/>
          <w:szCs w:val="24"/>
        </w:rPr>
      </w:pPr>
    </w:p>
    <w:p w:rsidR="00E20D40" w:rsidRPr="0058193A" w:rsidRDefault="00E20D40" w:rsidP="00E20D40">
      <w:pPr>
        <w:pStyle w:val="PlainText"/>
        <w:jc w:val="both"/>
        <w:rPr>
          <w:rFonts w:ascii="Arial" w:hAnsi="Arial" w:cs="Arial"/>
          <w:sz w:val="24"/>
          <w:szCs w:val="24"/>
        </w:rPr>
      </w:pPr>
      <w:r>
        <w:rPr>
          <w:rFonts w:ascii="Arial" w:hAnsi="Arial" w:cs="Arial"/>
          <w:sz w:val="24"/>
          <w:szCs w:val="24"/>
        </w:rPr>
        <w:t xml:space="preserve">It is not enough for a company to say that they are no longer the supplier, if the complaint relates to a period when they did supply. However the Extra Help Unit will accept challenges where there is clear evidence that another company was at fault. </w:t>
      </w:r>
    </w:p>
    <w:p w:rsidR="00E20D40" w:rsidRDefault="00E20D40" w:rsidP="00E20D40"/>
    <w:p w:rsidR="00E20D40" w:rsidRDefault="00E20D40" w:rsidP="00E20D40">
      <w:pPr>
        <w:pStyle w:val="PlainText"/>
        <w:jc w:val="both"/>
        <w:rPr>
          <w:rFonts w:ascii="Arial" w:hAnsi="Arial" w:cs="Arial"/>
          <w:b/>
          <w:color w:val="0070C0"/>
          <w:sz w:val="24"/>
          <w:szCs w:val="24"/>
        </w:rPr>
      </w:pPr>
      <w:r>
        <w:rPr>
          <w:rFonts w:ascii="Arial" w:hAnsi="Arial" w:cs="Arial"/>
          <w:b/>
          <w:color w:val="0070C0"/>
          <w:sz w:val="24"/>
          <w:szCs w:val="24"/>
        </w:rPr>
        <w:t>Special Circumstances</w:t>
      </w:r>
    </w:p>
    <w:p w:rsidR="00E20D40" w:rsidRDefault="00E20D40" w:rsidP="00E20D40">
      <w:pPr>
        <w:pStyle w:val="PlainText"/>
        <w:jc w:val="both"/>
        <w:rPr>
          <w:rFonts w:ascii="Arial" w:hAnsi="Arial" w:cs="Arial"/>
          <w:b/>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There are a couple of scenarios when a supplier may have taken all necessary steps to assist a consumer, and it would be unreasonable to penalise the supplier. The two situations are:</w:t>
      </w:r>
    </w:p>
    <w:p w:rsidR="00E20D40" w:rsidRDefault="00E20D40" w:rsidP="00E20D40">
      <w:pPr>
        <w:pStyle w:val="PlainText"/>
        <w:jc w:val="both"/>
        <w:rPr>
          <w:rFonts w:ascii="Arial" w:hAnsi="Arial" w:cs="Arial"/>
          <w:sz w:val="24"/>
          <w:szCs w:val="24"/>
        </w:rPr>
      </w:pPr>
    </w:p>
    <w:p w:rsidR="00E20D40" w:rsidRDefault="00E20D40" w:rsidP="00E20D40">
      <w:pPr>
        <w:pStyle w:val="PlainText"/>
        <w:numPr>
          <w:ilvl w:val="0"/>
          <w:numId w:val="1"/>
        </w:numPr>
        <w:spacing w:after="0"/>
        <w:jc w:val="both"/>
        <w:rPr>
          <w:rFonts w:ascii="Arial" w:hAnsi="Arial" w:cs="Arial"/>
          <w:sz w:val="24"/>
          <w:szCs w:val="24"/>
        </w:rPr>
      </w:pPr>
      <w:r>
        <w:rPr>
          <w:rFonts w:ascii="Arial" w:hAnsi="Arial" w:cs="Arial"/>
          <w:sz w:val="24"/>
          <w:szCs w:val="24"/>
        </w:rPr>
        <w:t>Cases which involve meter tampering when it isn’t a consumer’s first offence</w:t>
      </w:r>
    </w:p>
    <w:p w:rsidR="00E20D40" w:rsidRDefault="00E20D40" w:rsidP="00E20D40">
      <w:pPr>
        <w:pStyle w:val="PlainText"/>
        <w:jc w:val="both"/>
        <w:rPr>
          <w:rFonts w:ascii="Arial" w:hAnsi="Arial" w:cs="Arial"/>
          <w:sz w:val="24"/>
          <w:szCs w:val="24"/>
        </w:rPr>
      </w:pPr>
    </w:p>
    <w:p w:rsidR="00E20D40" w:rsidRDefault="00E20D40" w:rsidP="00E20D40">
      <w:pPr>
        <w:pStyle w:val="PlainText"/>
        <w:numPr>
          <w:ilvl w:val="0"/>
          <w:numId w:val="1"/>
        </w:numPr>
        <w:spacing w:after="0"/>
        <w:jc w:val="both"/>
        <w:rPr>
          <w:rFonts w:ascii="Arial" w:hAnsi="Arial" w:cs="Arial"/>
          <w:sz w:val="24"/>
          <w:szCs w:val="24"/>
        </w:rPr>
      </w:pPr>
      <w:r>
        <w:rPr>
          <w:rFonts w:ascii="Arial" w:hAnsi="Arial" w:cs="Arial"/>
          <w:sz w:val="24"/>
          <w:szCs w:val="24"/>
        </w:rPr>
        <w:t xml:space="preserve">Cases which involve discretionary credit being requested on 3 or more occasions during a 12 month period, and provided the energy supplier has given sufficient support to the consumer at the time of the previous requests* </w:t>
      </w:r>
    </w:p>
    <w:p w:rsidR="00E20D40" w:rsidRDefault="00E20D40" w:rsidP="00E20D40"/>
    <w:p w:rsidR="00E20D40" w:rsidRDefault="00E20D40" w:rsidP="00E20D40">
      <w:pPr>
        <w:rPr>
          <w:rFonts w:ascii="Arial" w:hAnsi="Arial" w:cs="Arial"/>
          <w:sz w:val="24"/>
          <w:szCs w:val="24"/>
        </w:rPr>
      </w:pPr>
      <w:r>
        <w:rPr>
          <w:rFonts w:ascii="Arial" w:hAnsi="Arial" w:cs="Arial"/>
          <w:sz w:val="24"/>
          <w:szCs w:val="24"/>
        </w:rPr>
        <w:t>These are also the only two occasions when a priority case can be disputed, and the Extra Help Unit would require sufficient evidence to be made available to confirm that the case is eligible to be downgraded to an enquiry. A more detailed explanation of the criteria for disputing these cases is provided in the operating guidance below</w:t>
      </w:r>
    </w:p>
    <w:p w:rsidR="00E20D40" w:rsidRDefault="00E20D40" w:rsidP="00E20D40">
      <w:pPr>
        <w:rPr>
          <w:rFonts w:ascii="Arial" w:hAnsi="Arial" w:cs="Arial"/>
          <w:sz w:val="24"/>
          <w:szCs w:val="24"/>
        </w:rPr>
      </w:pPr>
    </w:p>
    <w:p w:rsidR="00E20D40" w:rsidRDefault="00E20D40" w:rsidP="00E20D40">
      <w:r>
        <w:rPr>
          <w:rFonts w:ascii="Arial" w:hAnsi="Arial" w:cs="Arial"/>
          <w:b/>
          <w:color w:val="0070C0"/>
          <w:sz w:val="36"/>
          <w:szCs w:val="36"/>
        </w:rPr>
        <w:t>The Dispute Process – Operating Guidance</w:t>
      </w:r>
    </w:p>
    <w:p w:rsidR="00E20D40" w:rsidRDefault="00E20D40" w:rsidP="00E20D40">
      <w:pPr>
        <w:pStyle w:val="PlainText"/>
        <w:jc w:val="both"/>
        <w:rPr>
          <w:rFonts w:ascii="Arial" w:hAnsi="Arial" w:cs="Arial"/>
          <w:sz w:val="24"/>
          <w:szCs w:val="24"/>
        </w:rPr>
      </w:pPr>
      <w:r>
        <w:rPr>
          <w:rFonts w:ascii="Arial" w:hAnsi="Arial" w:cs="Arial"/>
          <w:sz w:val="24"/>
          <w:szCs w:val="24"/>
        </w:rPr>
        <w:t>The following information dictates how the Dispute Process works in practice. Please be aware of the following key points:</w:t>
      </w:r>
    </w:p>
    <w:p w:rsidR="00E20D40" w:rsidRDefault="00E20D40" w:rsidP="00E20D40">
      <w:pPr>
        <w:pStyle w:val="PlainText"/>
        <w:jc w:val="both"/>
        <w:rPr>
          <w:rFonts w:ascii="Arial" w:hAnsi="Arial" w:cs="Arial"/>
          <w:sz w:val="24"/>
          <w:szCs w:val="24"/>
        </w:rPr>
      </w:pPr>
    </w:p>
    <w:p w:rsidR="00E20D40" w:rsidRPr="0058193A" w:rsidRDefault="00E20D40" w:rsidP="00E20D40">
      <w:pPr>
        <w:pStyle w:val="PlainText"/>
        <w:numPr>
          <w:ilvl w:val="0"/>
          <w:numId w:val="1"/>
        </w:numPr>
        <w:spacing w:after="0"/>
        <w:jc w:val="both"/>
        <w:rPr>
          <w:rFonts w:ascii="Arial" w:hAnsi="Arial" w:cs="Arial"/>
          <w:b/>
          <w:color w:val="0000FF"/>
          <w:sz w:val="24"/>
          <w:szCs w:val="24"/>
        </w:rPr>
      </w:pPr>
      <w:r w:rsidRPr="0058193A">
        <w:rPr>
          <w:rFonts w:ascii="Arial" w:hAnsi="Arial" w:cs="Arial"/>
          <w:sz w:val="24"/>
          <w:szCs w:val="24"/>
        </w:rPr>
        <w:t xml:space="preserve">The disputes </w:t>
      </w:r>
      <w:proofErr w:type="spellStart"/>
      <w:r w:rsidRPr="0058193A">
        <w:rPr>
          <w:rFonts w:ascii="Arial" w:hAnsi="Arial" w:cs="Arial"/>
          <w:sz w:val="24"/>
          <w:szCs w:val="24"/>
        </w:rPr>
        <w:t>proforma</w:t>
      </w:r>
      <w:proofErr w:type="spellEnd"/>
      <w:r w:rsidRPr="0058193A">
        <w:rPr>
          <w:rFonts w:ascii="Arial" w:hAnsi="Arial" w:cs="Arial"/>
          <w:sz w:val="24"/>
          <w:szCs w:val="24"/>
        </w:rPr>
        <w:t xml:space="preserve"> should be used in all instances and sent electronically to the Extra Help Unit using the following e-mail address: </w:t>
      </w:r>
      <w:hyperlink r:id="rId7" w:history="1">
        <w:r w:rsidRPr="0058193A">
          <w:rPr>
            <w:rStyle w:val="Hyperlink"/>
            <w:rFonts w:ascii="Arial" w:hAnsi="Arial" w:cs="Arial"/>
            <w:sz w:val="24"/>
            <w:szCs w:val="24"/>
          </w:rPr>
          <w:t>complaints@ehu.org.uk</w:t>
        </w:r>
      </w:hyperlink>
      <w:r>
        <w:rPr>
          <w:rFonts w:ascii="Arial" w:hAnsi="Arial" w:cs="Arial"/>
          <w:sz w:val="24"/>
          <w:szCs w:val="24"/>
        </w:rPr>
        <w:t xml:space="preserve">. A copy of the </w:t>
      </w:r>
      <w:proofErr w:type="spellStart"/>
      <w:r>
        <w:rPr>
          <w:rFonts w:ascii="Arial" w:hAnsi="Arial" w:cs="Arial"/>
          <w:sz w:val="24"/>
          <w:szCs w:val="24"/>
        </w:rPr>
        <w:t>proforma</w:t>
      </w:r>
      <w:proofErr w:type="spellEnd"/>
      <w:r>
        <w:rPr>
          <w:rFonts w:ascii="Arial" w:hAnsi="Arial" w:cs="Arial"/>
          <w:sz w:val="24"/>
          <w:szCs w:val="24"/>
        </w:rPr>
        <w:t xml:space="preserve"> can be found below.</w:t>
      </w:r>
    </w:p>
    <w:p w:rsidR="00E20D40" w:rsidRDefault="00E20D40" w:rsidP="00E20D40">
      <w:pPr>
        <w:pStyle w:val="PlainText"/>
        <w:ind w:left="360"/>
        <w:jc w:val="both"/>
        <w:rPr>
          <w:rFonts w:ascii="Arial" w:hAnsi="Arial" w:cs="Arial"/>
          <w:b/>
          <w:color w:val="0000FF"/>
          <w:sz w:val="24"/>
          <w:szCs w:val="24"/>
        </w:rPr>
      </w:pPr>
    </w:p>
    <w:p w:rsidR="00E20D40" w:rsidRDefault="00E20D40" w:rsidP="00E20D40">
      <w:pPr>
        <w:pStyle w:val="PlainText"/>
        <w:numPr>
          <w:ilvl w:val="0"/>
          <w:numId w:val="1"/>
        </w:numPr>
        <w:spacing w:after="0"/>
        <w:jc w:val="both"/>
        <w:rPr>
          <w:rFonts w:ascii="Arial" w:hAnsi="Arial" w:cs="Arial"/>
          <w:b/>
          <w:color w:val="0000FF"/>
          <w:sz w:val="24"/>
          <w:szCs w:val="24"/>
        </w:rPr>
      </w:pPr>
      <w:r>
        <w:rPr>
          <w:rFonts w:ascii="Arial" w:hAnsi="Arial" w:cs="Arial"/>
          <w:sz w:val="24"/>
          <w:szCs w:val="24"/>
        </w:rPr>
        <w:t xml:space="preserve">The disputes </w:t>
      </w:r>
      <w:proofErr w:type="spellStart"/>
      <w:r>
        <w:rPr>
          <w:rFonts w:ascii="Arial" w:hAnsi="Arial" w:cs="Arial"/>
          <w:sz w:val="24"/>
          <w:szCs w:val="24"/>
        </w:rPr>
        <w:t>proforma</w:t>
      </w:r>
      <w:proofErr w:type="spellEnd"/>
      <w:r>
        <w:rPr>
          <w:rFonts w:ascii="Arial" w:hAnsi="Arial" w:cs="Arial"/>
          <w:sz w:val="24"/>
          <w:szCs w:val="24"/>
        </w:rPr>
        <w:t xml:space="preserve"> must be received by the Extra Help Unit within five working days of the supplier receiving the complaint. Any disputes received outside this time scale will not be upheld under any circumstance. The disputes process is designed to ensure all energy companies are treated in a consistent manner, so no exceptions will be made.</w:t>
      </w:r>
    </w:p>
    <w:p w:rsidR="00E20D40" w:rsidRDefault="00E20D40" w:rsidP="00E20D40">
      <w:pPr>
        <w:pStyle w:val="PlainText"/>
        <w:jc w:val="both"/>
        <w:rPr>
          <w:rFonts w:ascii="Arial" w:hAnsi="Arial" w:cs="Arial"/>
          <w:b/>
          <w:color w:val="0000FF"/>
          <w:sz w:val="24"/>
          <w:szCs w:val="24"/>
        </w:rPr>
      </w:pPr>
    </w:p>
    <w:p w:rsidR="00E20D40" w:rsidRDefault="00E20D40" w:rsidP="00E20D40">
      <w:pPr>
        <w:pStyle w:val="PlainText"/>
        <w:numPr>
          <w:ilvl w:val="0"/>
          <w:numId w:val="1"/>
        </w:numPr>
        <w:spacing w:after="0"/>
        <w:jc w:val="both"/>
        <w:rPr>
          <w:rFonts w:ascii="Arial" w:hAnsi="Arial" w:cs="Arial"/>
          <w:sz w:val="24"/>
          <w:szCs w:val="24"/>
        </w:rPr>
      </w:pPr>
      <w:r>
        <w:rPr>
          <w:rFonts w:ascii="Arial" w:hAnsi="Arial" w:cs="Arial"/>
          <w:sz w:val="24"/>
          <w:szCs w:val="24"/>
        </w:rPr>
        <w:t>Priority complaints are excluded from the disputes process, due to the nature of these complaints. The only exceptions to this rule are outlined in the criteria below.</w:t>
      </w:r>
    </w:p>
    <w:p w:rsidR="00E20D40" w:rsidRDefault="00E20D40" w:rsidP="00E20D40">
      <w:pPr>
        <w:pStyle w:val="PlainText"/>
        <w:jc w:val="both"/>
        <w:rPr>
          <w:rFonts w:ascii="Arial" w:hAnsi="Arial" w:cs="Arial"/>
          <w:b/>
          <w:color w:val="0000FF"/>
          <w:sz w:val="24"/>
          <w:szCs w:val="24"/>
        </w:rPr>
      </w:pPr>
    </w:p>
    <w:p w:rsidR="00E20D40" w:rsidRDefault="00E20D40" w:rsidP="00E20D40">
      <w:pPr>
        <w:pStyle w:val="PlainText"/>
        <w:numPr>
          <w:ilvl w:val="0"/>
          <w:numId w:val="1"/>
        </w:numPr>
        <w:spacing w:after="0"/>
        <w:jc w:val="both"/>
        <w:rPr>
          <w:rFonts w:ascii="Arial" w:hAnsi="Arial" w:cs="Arial"/>
          <w:sz w:val="24"/>
          <w:szCs w:val="24"/>
        </w:rPr>
      </w:pPr>
      <w:r>
        <w:rPr>
          <w:rFonts w:ascii="Arial" w:hAnsi="Arial" w:cs="Arial"/>
          <w:sz w:val="24"/>
          <w:szCs w:val="24"/>
        </w:rPr>
        <w:t xml:space="preserve">At no time should formal or informal contact be made with Caseworkers in order to change complaint details covered by the disputes process. </w:t>
      </w:r>
    </w:p>
    <w:p w:rsidR="00E20D40" w:rsidRDefault="00E20D40" w:rsidP="00E20D40">
      <w:pPr>
        <w:pStyle w:val="PlainText"/>
        <w:jc w:val="both"/>
        <w:rPr>
          <w:rFonts w:ascii="Arial" w:hAnsi="Arial" w:cs="Arial"/>
          <w:sz w:val="24"/>
          <w:szCs w:val="24"/>
        </w:rPr>
      </w:pPr>
    </w:p>
    <w:p w:rsidR="00E20D40" w:rsidRDefault="00E20D40" w:rsidP="00E20D40">
      <w:pPr>
        <w:pStyle w:val="PlainText"/>
        <w:numPr>
          <w:ilvl w:val="0"/>
          <w:numId w:val="1"/>
        </w:numPr>
        <w:spacing w:after="0"/>
        <w:jc w:val="both"/>
        <w:rPr>
          <w:rFonts w:ascii="Arial" w:hAnsi="Arial" w:cs="Arial"/>
          <w:sz w:val="24"/>
          <w:szCs w:val="24"/>
        </w:rPr>
      </w:pPr>
      <w:r>
        <w:rPr>
          <w:rFonts w:ascii="Arial" w:hAnsi="Arial" w:cs="Arial"/>
          <w:sz w:val="24"/>
          <w:szCs w:val="24"/>
        </w:rPr>
        <w:t>A team manager will respond to any disputes which have been received, this is to ensure that disputes are dealt with consistently and any necessary feedback can be provided to the Caseworker who logged the case. This will happen within 5 working days.</w:t>
      </w:r>
    </w:p>
    <w:p w:rsidR="00E20D40" w:rsidRDefault="00E20D40" w:rsidP="00E20D40">
      <w:pPr>
        <w:pStyle w:val="PlainText"/>
        <w:jc w:val="both"/>
        <w:rPr>
          <w:rFonts w:ascii="Arial" w:hAnsi="Arial" w:cs="Arial"/>
          <w:sz w:val="24"/>
          <w:szCs w:val="24"/>
        </w:rPr>
      </w:pPr>
    </w:p>
    <w:p w:rsidR="00E20D40" w:rsidRDefault="00E20D40" w:rsidP="00E20D40">
      <w:pPr>
        <w:pStyle w:val="PlainText"/>
        <w:numPr>
          <w:ilvl w:val="0"/>
          <w:numId w:val="1"/>
        </w:numPr>
        <w:spacing w:after="0"/>
        <w:jc w:val="both"/>
        <w:rPr>
          <w:rFonts w:ascii="Arial" w:hAnsi="Arial" w:cs="Arial"/>
          <w:sz w:val="24"/>
          <w:szCs w:val="24"/>
        </w:rPr>
      </w:pPr>
      <w:r>
        <w:rPr>
          <w:rFonts w:ascii="Arial" w:hAnsi="Arial" w:cs="Arial"/>
          <w:sz w:val="24"/>
          <w:szCs w:val="24"/>
        </w:rPr>
        <w:t xml:space="preserve">A team manager’s decision should be considered as final. Cases should not be returned for a further review or discussion. Should there be a concern with how the Extra Help Unit has responded to a dispute, then this should only be disputed by the head of an energy company’s customer service department, to the Head of the Extra Help Unit who will review the case. This situation must only occur when a full review has been carried out within the company, and only in very rare circumstances. </w:t>
      </w:r>
    </w:p>
    <w:p w:rsidR="00E20D40" w:rsidRDefault="00E20D40" w:rsidP="00E20D40"/>
    <w:p w:rsidR="00E20D40" w:rsidRDefault="00E20D40" w:rsidP="00E20D40">
      <w:pPr>
        <w:pStyle w:val="PlainText"/>
        <w:jc w:val="both"/>
        <w:outlineLvl w:val="2"/>
        <w:rPr>
          <w:rFonts w:ascii="Arial" w:hAnsi="Arial" w:cs="Arial"/>
          <w:b/>
          <w:color w:val="0070C0"/>
          <w:sz w:val="24"/>
          <w:szCs w:val="24"/>
        </w:rPr>
      </w:pPr>
      <w:bookmarkStart w:id="1" w:name="_Toc229375978"/>
      <w:r>
        <w:rPr>
          <w:rFonts w:ascii="Arial" w:hAnsi="Arial" w:cs="Arial"/>
          <w:b/>
          <w:color w:val="0070C0"/>
          <w:sz w:val="24"/>
          <w:szCs w:val="24"/>
        </w:rPr>
        <w:t>The Complaint Dispute Process</w:t>
      </w:r>
      <w:bookmarkEnd w:id="1"/>
      <w:r>
        <w:rPr>
          <w:rFonts w:ascii="Arial" w:hAnsi="Arial" w:cs="Arial"/>
          <w:b/>
          <w:color w:val="0070C0"/>
          <w:sz w:val="24"/>
          <w:szCs w:val="24"/>
        </w:rPr>
        <w:t xml:space="preserve"> </w:t>
      </w:r>
    </w:p>
    <w:p w:rsidR="00E20D40" w:rsidRDefault="00E20D40" w:rsidP="00E20D40">
      <w:pPr>
        <w:pStyle w:val="PlainText"/>
        <w:jc w:val="both"/>
        <w:outlineLvl w:val="2"/>
        <w:rPr>
          <w:rFonts w:ascii="Arial" w:hAnsi="Arial" w:cs="Arial"/>
          <w:b/>
          <w:color w:val="0070C0"/>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Disputes will only be accepted on the following criteria. </w:t>
      </w:r>
    </w:p>
    <w:p w:rsidR="00E20D40" w:rsidRDefault="00E20D40" w:rsidP="00E20D40">
      <w:pPr>
        <w:pStyle w:val="PlainText"/>
        <w:jc w:val="both"/>
        <w:rPr>
          <w:rFonts w:ascii="Arial" w:hAnsi="Arial" w:cs="Arial"/>
          <w:sz w:val="24"/>
          <w:szCs w:val="24"/>
        </w:rPr>
      </w:pPr>
    </w:p>
    <w:p w:rsidR="00E20D40" w:rsidRDefault="00E20D40" w:rsidP="00E20D40">
      <w:pPr>
        <w:pStyle w:val="PlainText"/>
        <w:numPr>
          <w:ilvl w:val="0"/>
          <w:numId w:val="4"/>
        </w:numPr>
        <w:spacing w:after="0"/>
        <w:jc w:val="both"/>
        <w:rPr>
          <w:rFonts w:ascii="Arial" w:hAnsi="Arial" w:cs="Arial"/>
          <w:sz w:val="24"/>
          <w:szCs w:val="24"/>
        </w:rPr>
      </w:pPr>
      <w:r>
        <w:rPr>
          <w:rFonts w:ascii="Arial" w:hAnsi="Arial" w:cs="Arial"/>
          <w:sz w:val="24"/>
          <w:szCs w:val="24"/>
        </w:rPr>
        <w:t xml:space="preserve">The complaint has been logged against the wrong company </w:t>
      </w:r>
    </w:p>
    <w:p w:rsidR="00E20D40" w:rsidRDefault="00E20D40" w:rsidP="00E20D40">
      <w:pPr>
        <w:pStyle w:val="PlainText"/>
        <w:ind w:left="360"/>
        <w:jc w:val="both"/>
        <w:rPr>
          <w:rFonts w:ascii="Arial" w:hAnsi="Arial" w:cs="Arial"/>
          <w:sz w:val="24"/>
          <w:szCs w:val="24"/>
        </w:rPr>
      </w:pPr>
    </w:p>
    <w:p w:rsidR="00E20D40" w:rsidRDefault="00E20D40" w:rsidP="00E20D40">
      <w:pPr>
        <w:pStyle w:val="PlainText"/>
        <w:numPr>
          <w:ilvl w:val="0"/>
          <w:numId w:val="4"/>
        </w:numPr>
        <w:spacing w:after="0"/>
        <w:jc w:val="both"/>
        <w:rPr>
          <w:rFonts w:ascii="Arial" w:hAnsi="Arial" w:cs="Arial"/>
          <w:sz w:val="24"/>
          <w:szCs w:val="24"/>
        </w:rPr>
      </w:pPr>
      <w:r>
        <w:rPr>
          <w:rFonts w:ascii="Arial" w:hAnsi="Arial" w:cs="Arial"/>
          <w:sz w:val="24"/>
          <w:szCs w:val="24"/>
        </w:rPr>
        <w:t xml:space="preserve">The company has not had a reasonable opportunity to resolve the matter </w:t>
      </w:r>
    </w:p>
    <w:p w:rsidR="00E20D40" w:rsidRDefault="00E20D40" w:rsidP="00E20D40">
      <w:pPr>
        <w:pStyle w:val="PlainText"/>
        <w:jc w:val="both"/>
        <w:rPr>
          <w:rFonts w:ascii="Arial" w:hAnsi="Arial" w:cs="Arial"/>
          <w:sz w:val="24"/>
          <w:szCs w:val="24"/>
        </w:rPr>
      </w:pPr>
    </w:p>
    <w:p w:rsidR="00E20D40" w:rsidRDefault="00E20D40" w:rsidP="00E20D40">
      <w:pPr>
        <w:pStyle w:val="PlainText"/>
        <w:numPr>
          <w:ilvl w:val="0"/>
          <w:numId w:val="4"/>
        </w:numPr>
        <w:spacing w:after="0"/>
        <w:jc w:val="both"/>
        <w:rPr>
          <w:rFonts w:ascii="Arial" w:hAnsi="Arial" w:cs="Arial"/>
          <w:sz w:val="24"/>
          <w:szCs w:val="24"/>
        </w:rPr>
      </w:pPr>
      <w:r>
        <w:rPr>
          <w:rFonts w:ascii="Arial" w:hAnsi="Arial" w:cs="Arial"/>
          <w:sz w:val="24"/>
          <w:szCs w:val="24"/>
        </w:rPr>
        <w:t xml:space="preserve">The categorisation is incorrect </w:t>
      </w:r>
    </w:p>
    <w:p w:rsidR="00E20D40" w:rsidRDefault="00E20D40" w:rsidP="00E20D40">
      <w:pPr>
        <w:pStyle w:val="PlainText"/>
        <w:jc w:val="both"/>
        <w:rPr>
          <w:rFonts w:ascii="Arial" w:hAnsi="Arial" w:cs="Arial"/>
          <w:sz w:val="24"/>
          <w:szCs w:val="24"/>
        </w:rPr>
      </w:pPr>
    </w:p>
    <w:p w:rsidR="00E20D40" w:rsidRDefault="00E20D40" w:rsidP="00E20D40">
      <w:pPr>
        <w:pStyle w:val="PlainText"/>
        <w:numPr>
          <w:ilvl w:val="0"/>
          <w:numId w:val="4"/>
        </w:numPr>
        <w:spacing w:after="0"/>
        <w:jc w:val="both"/>
        <w:rPr>
          <w:rFonts w:ascii="Arial" w:hAnsi="Arial" w:cs="Arial"/>
          <w:sz w:val="24"/>
          <w:szCs w:val="24"/>
        </w:rPr>
      </w:pPr>
      <w:r>
        <w:rPr>
          <w:rFonts w:ascii="Arial" w:hAnsi="Arial" w:cs="Arial"/>
          <w:sz w:val="24"/>
          <w:szCs w:val="24"/>
        </w:rPr>
        <w:t>The case is a repeat revenue protection issue.  First offences cannot be disputed. Disputing a case of this type must not impact on how the case is handled.</w:t>
      </w:r>
    </w:p>
    <w:p w:rsidR="00E20D40" w:rsidRDefault="00E20D40" w:rsidP="00E20D40">
      <w:pPr>
        <w:pStyle w:val="PlainText"/>
        <w:jc w:val="both"/>
        <w:rPr>
          <w:rFonts w:ascii="Arial" w:hAnsi="Arial" w:cs="Arial"/>
          <w:b/>
          <w:sz w:val="24"/>
          <w:szCs w:val="24"/>
        </w:rPr>
      </w:pPr>
    </w:p>
    <w:p w:rsidR="00E20D40" w:rsidRDefault="00E20D40" w:rsidP="00E20D40">
      <w:pPr>
        <w:pStyle w:val="PlainText"/>
        <w:numPr>
          <w:ilvl w:val="0"/>
          <w:numId w:val="4"/>
        </w:numPr>
        <w:spacing w:after="0"/>
        <w:jc w:val="both"/>
        <w:rPr>
          <w:rFonts w:ascii="Arial" w:hAnsi="Arial" w:cs="Arial"/>
          <w:sz w:val="24"/>
          <w:szCs w:val="24"/>
        </w:rPr>
      </w:pPr>
      <w:r>
        <w:rPr>
          <w:rFonts w:ascii="Arial" w:hAnsi="Arial" w:cs="Arial"/>
          <w:sz w:val="24"/>
          <w:szCs w:val="24"/>
        </w:rPr>
        <w:t>The complaint involves a third request for discretionary credit within a 12 month period. 1</w:t>
      </w:r>
      <w:r>
        <w:rPr>
          <w:rFonts w:ascii="Arial" w:hAnsi="Arial" w:cs="Arial"/>
          <w:sz w:val="24"/>
          <w:szCs w:val="24"/>
          <w:vertAlign w:val="superscript"/>
        </w:rPr>
        <w:t>st</w:t>
      </w:r>
      <w:r>
        <w:rPr>
          <w:rFonts w:ascii="Arial" w:hAnsi="Arial" w:cs="Arial"/>
          <w:sz w:val="24"/>
          <w:szCs w:val="24"/>
        </w:rPr>
        <w:t xml:space="preserve"> or 2</w:t>
      </w:r>
      <w:r>
        <w:rPr>
          <w:rFonts w:ascii="Arial" w:hAnsi="Arial" w:cs="Arial"/>
          <w:sz w:val="24"/>
          <w:szCs w:val="24"/>
          <w:vertAlign w:val="superscript"/>
        </w:rPr>
        <w:t>nd</w:t>
      </w:r>
      <w:r>
        <w:rPr>
          <w:rFonts w:ascii="Arial" w:hAnsi="Arial" w:cs="Arial"/>
          <w:sz w:val="24"/>
          <w:szCs w:val="24"/>
        </w:rPr>
        <w:t xml:space="preserve"> requests cannot be disputed.</w:t>
      </w:r>
    </w:p>
    <w:p w:rsidR="00E20D40" w:rsidRDefault="00E20D40" w:rsidP="00E20D40">
      <w:pPr>
        <w:pStyle w:val="ListParagraph"/>
        <w:ind w:left="1440"/>
        <w:rPr>
          <w:rFonts w:cs="Arial"/>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In reviewing this, the EHU would consider whether the supplier has previously:</w:t>
      </w:r>
    </w:p>
    <w:p w:rsidR="00E20D40" w:rsidRDefault="00E20D40" w:rsidP="00E20D40">
      <w:pPr>
        <w:pStyle w:val="PlainText"/>
        <w:ind w:left="360"/>
        <w:jc w:val="both"/>
        <w:rPr>
          <w:rFonts w:ascii="Arial" w:hAnsi="Arial" w:cs="Arial"/>
          <w:sz w:val="24"/>
          <w:szCs w:val="24"/>
        </w:rPr>
      </w:pPr>
    </w:p>
    <w:p w:rsidR="00E20D40" w:rsidRDefault="00E20D40" w:rsidP="00E20D40">
      <w:pPr>
        <w:pStyle w:val="PlainText"/>
        <w:ind w:left="360"/>
        <w:jc w:val="both"/>
        <w:rPr>
          <w:rFonts w:ascii="Arial" w:hAnsi="Arial" w:cs="Arial"/>
          <w:sz w:val="24"/>
          <w:szCs w:val="24"/>
        </w:rPr>
      </w:pPr>
      <w:r>
        <w:rPr>
          <w:rFonts w:ascii="Arial" w:hAnsi="Arial" w:cs="Arial"/>
          <w:sz w:val="24"/>
          <w:szCs w:val="24"/>
        </w:rPr>
        <w:t>-  considered the appropriateness of the prepayment meter</w:t>
      </w:r>
    </w:p>
    <w:p w:rsidR="00E20D40" w:rsidRDefault="00E20D40" w:rsidP="00E20D40">
      <w:pPr>
        <w:pStyle w:val="PlainText"/>
        <w:jc w:val="both"/>
        <w:rPr>
          <w:rFonts w:ascii="Arial" w:hAnsi="Arial" w:cs="Arial"/>
          <w:sz w:val="24"/>
          <w:szCs w:val="24"/>
        </w:rPr>
      </w:pPr>
    </w:p>
    <w:p w:rsidR="00E20D40" w:rsidRDefault="00E20D40" w:rsidP="00E20D40">
      <w:pPr>
        <w:pStyle w:val="PlainText"/>
        <w:ind w:left="360"/>
        <w:jc w:val="both"/>
        <w:rPr>
          <w:rFonts w:ascii="Arial" w:hAnsi="Arial" w:cs="Arial"/>
          <w:sz w:val="24"/>
          <w:szCs w:val="24"/>
        </w:rPr>
      </w:pPr>
      <w:r>
        <w:rPr>
          <w:rFonts w:ascii="Arial" w:hAnsi="Arial" w:cs="Arial"/>
          <w:sz w:val="24"/>
          <w:szCs w:val="24"/>
        </w:rPr>
        <w:t>- reviewed the debt repayment rate to ensure it takes account of the consumers ability to pay</w:t>
      </w:r>
    </w:p>
    <w:p w:rsidR="00E20D40" w:rsidRDefault="00E20D40" w:rsidP="00E20D40">
      <w:pPr>
        <w:pStyle w:val="PlainText"/>
        <w:ind w:left="360"/>
        <w:jc w:val="both"/>
        <w:rPr>
          <w:rFonts w:ascii="Arial" w:hAnsi="Arial" w:cs="Arial"/>
          <w:sz w:val="24"/>
          <w:szCs w:val="24"/>
        </w:rPr>
      </w:pPr>
    </w:p>
    <w:p w:rsidR="00E20D40" w:rsidRDefault="00E20D40" w:rsidP="00E20D40">
      <w:pPr>
        <w:pStyle w:val="PlainText"/>
        <w:ind w:left="360"/>
        <w:jc w:val="both"/>
        <w:rPr>
          <w:rFonts w:ascii="Arial" w:hAnsi="Arial" w:cs="Arial"/>
          <w:sz w:val="24"/>
          <w:szCs w:val="24"/>
        </w:rPr>
      </w:pPr>
      <w:r>
        <w:rPr>
          <w:rFonts w:ascii="Arial" w:hAnsi="Arial" w:cs="Arial"/>
          <w:sz w:val="24"/>
          <w:szCs w:val="24"/>
        </w:rPr>
        <w:t>- provided any support or signposting for debt advice, Warm Home Discount, trust funds, energy efficiency advice etc.</w:t>
      </w:r>
    </w:p>
    <w:p w:rsidR="00E20D40" w:rsidRDefault="00E20D40" w:rsidP="00E20D40">
      <w:pPr>
        <w:pStyle w:val="PlainText"/>
        <w:ind w:left="360"/>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Disputing a case of this type must not impact on how the case is handled.</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b/>
          <w:color w:val="0070C0"/>
          <w:sz w:val="24"/>
          <w:szCs w:val="24"/>
        </w:rPr>
      </w:pPr>
      <w:r>
        <w:rPr>
          <w:rFonts w:ascii="Arial" w:hAnsi="Arial" w:cs="Arial"/>
          <w:b/>
          <w:color w:val="0070C0"/>
          <w:sz w:val="24"/>
          <w:szCs w:val="24"/>
        </w:rPr>
        <w:t xml:space="preserve">Timescales </w:t>
      </w:r>
    </w:p>
    <w:p w:rsidR="00E20D40" w:rsidRPr="0058193A" w:rsidRDefault="00E20D40" w:rsidP="00E20D40">
      <w:pPr>
        <w:pStyle w:val="PlainText"/>
        <w:jc w:val="both"/>
        <w:rPr>
          <w:rFonts w:ascii="Arial" w:hAnsi="Arial" w:cs="Arial"/>
          <w:b/>
          <w:color w:val="0070C0"/>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Complaint received by the Extra Help Unit, and complaint form sent to company.</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b/>
          <w:color w:val="FF0000"/>
          <w:sz w:val="24"/>
          <w:szCs w:val="24"/>
        </w:rPr>
      </w:pPr>
      <w:r>
        <w:rPr>
          <w:rFonts w:ascii="Arial" w:hAnsi="Arial" w:cs="Arial"/>
          <w:b/>
          <w:color w:val="FF0000"/>
          <w:sz w:val="24"/>
          <w:szCs w:val="24"/>
        </w:rPr>
        <w:t xml:space="preserve">Day 1 – 5 </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The Complaint is received by the energy company. Company checks complaint to ensure it doesn’t meet the above criteria. </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If it does meet the criteria outlined in this document, a dispute should be sent to the Extra Help Unit on the </w:t>
      </w:r>
      <w:proofErr w:type="spellStart"/>
      <w:r>
        <w:rPr>
          <w:rFonts w:ascii="Arial" w:hAnsi="Arial" w:cs="Arial"/>
          <w:sz w:val="24"/>
          <w:szCs w:val="24"/>
        </w:rPr>
        <w:t>proforma</w:t>
      </w:r>
      <w:proofErr w:type="spellEnd"/>
      <w:r>
        <w:rPr>
          <w:rFonts w:ascii="Arial" w:hAnsi="Arial" w:cs="Arial"/>
          <w:sz w:val="24"/>
          <w:szCs w:val="24"/>
        </w:rPr>
        <w:t xml:space="preserve"> provided, and must enclose any evidence that the dispute relies upon. </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This should be sent to the Extra Help Unit as soon as possible. If a dispute is not received within 5 working days of the case being sent to the energy company it will not be upheld. </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b/>
          <w:color w:val="FF0000"/>
          <w:sz w:val="24"/>
          <w:szCs w:val="24"/>
        </w:rPr>
      </w:pPr>
      <w:r>
        <w:rPr>
          <w:rFonts w:ascii="Arial" w:hAnsi="Arial" w:cs="Arial"/>
          <w:b/>
          <w:color w:val="FF0000"/>
          <w:sz w:val="24"/>
          <w:szCs w:val="24"/>
        </w:rPr>
        <w:t xml:space="preserve">Day 5 – 10 </w:t>
      </w:r>
    </w:p>
    <w:p w:rsidR="00E20D40" w:rsidRDefault="00E20D40" w:rsidP="00E20D40">
      <w:pPr>
        <w:pStyle w:val="PlainText"/>
        <w:jc w:val="both"/>
        <w:rPr>
          <w:rFonts w:ascii="Arial" w:hAnsi="Arial" w:cs="Arial"/>
          <w:sz w:val="24"/>
          <w:szCs w:val="24"/>
        </w:rPr>
      </w:pPr>
    </w:p>
    <w:p w:rsidR="00E20D40" w:rsidRDefault="00E20D40" w:rsidP="00E20D40">
      <w:pPr>
        <w:pStyle w:val="PlainText"/>
        <w:jc w:val="both"/>
        <w:rPr>
          <w:rFonts w:ascii="Arial" w:hAnsi="Arial" w:cs="Arial"/>
          <w:sz w:val="24"/>
          <w:szCs w:val="24"/>
        </w:rPr>
      </w:pPr>
      <w:r>
        <w:rPr>
          <w:rFonts w:ascii="Arial" w:hAnsi="Arial" w:cs="Arial"/>
          <w:sz w:val="24"/>
          <w:szCs w:val="24"/>
        </w:rPr>
        <w:t xml:space="preserve">A Team Manager will check the evidence and respond to the company with a decision on either changing the complaint to an enquiry, or changing the category, within 5 days of receipt. </w:t>
      </w:r>
    </w:p>
    <w:p w:rsidR="00E20D40" w:rsidRDefault="00E20D40" w:rsidP="00E20D40"/>
    <w:p w:rsidR="00885E52" w:rsidRDefault="00885E52" w:rsidP="00E20D40"/>
    <w:p w:rsidR="00885E52" w:rsidRDefault="00885E52" w:rsidP="00E20D40"/>
    <w:p w:rsidR="00885E52" w:rsidRDefault="00885E52" w:rsidP="00E20D40"/>
    <w:p w:rsidR="00885E52" w:rsidRDefault="00885E52" w:rsidP="00E20D40"/>
    <w:p w:rsidR="00885E52" w:rsidRDefault="00885E52" w:rsidP="00E20D40"/>
    <w:p w:rsidR="00885E52" w:rsidRDefault="00885E52" w:rsidP="00E20D40"/>
    <w:p w:rsidR="00885E52" w:rsidRDefault="00885E52" w:rsidP="00E20D40"/>
    <w:p w:rsidR="00885E52" w:rsidRDefault="00885E52" w:rsidP="00885E52">
      <w:pPr>
        <w:pStyle w:val="Title"/>
        <w:jc w:val="both"/>
        <w:rPr>
          <w:b/>
          <w:color w:val="0070C0"/>
          <w:sz w:val="28"/>
          <w:szCs w:val="28"/>
        </w:rPr>
      </w:pPr>
    </w:p>
    <w:p w:rsidR="00885E52" w:rsidRPr="00885E52" w:rsidRDefault="00885E52" w:rsidP="00885E52">
      <w:pPr>
        <w:pStyle w:val="Title"/>
        <w:jc w:val="both"/>
        <w:rPr>
          <w:rFonts w:cs="Arial"/>
          <w:b/>
          <w:color w:val="0070C0"/>
          <w:sz w:val="28"/>
          <w:szCs w:val="28"/>
        </w:rPr>
      </w:pPr>
      <w:r w:rsidRPr="00885E52">
        <w:rPr>
          <w:rFonts w:cs="Arial"/>
          <w:b/>
          <w:color w:val="0070C0"/>
          <w:sz w:val="28"/>
          <w:szCs w:val="28"/>
        </w:rPr>
        <w:t>Complaint Dispute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3645"/>
      </w:tblGrid>
      <w:tr w:rsidR="00885E52" w:rsidRPr="00885E52" w:rsidTr="00A1548E">
        <w:tc>
          <w:tcPr>
            <w:tcW w:w="5211" w:type="dxa"/>
          </w:tcPr>
          <w:p w:rsidR="00885E52" w:rsidRPr="00885E52" w:rsidRDefault="00885E52" w:rsidP="00A1548E">
            <w:pPr>
              <w:autoSpaceDE w:val="0"/>
              <w:autoSpaceDN w:val="0"/>
              <w:adjustRightInd w:val="0"/>
              <w:jc w:val="both"/>
              <w:rPr>
                <w:rFonts w:ascii="Arial" w:hAnsi="Arial" w:cs="Arial"/>
                <w:b/>
                <w:bCs/>
                <w:color w:val="231F20"/>
              </w:rPr>
            </w:pPr>
            <w:r w:rsidRPr="00885E52">
              <w:rPr>
                <w:rFonts w:ascii="Arial" w:hAnsi="Arial" w:cs="Arial"/>
                <w:b/>
                <w:color w:val="231F20"/>
              </w:rPr>
              <w:t>Customer Details</w:t>
            </w:r>
          </w:p>
        </w:tc>
        <w:tc>
          <w:tcPr>
            <w:tcW w:w="3645" w:type="dxa"/>
          </w:tcPr>
          <w:p w:rsidR="00885E52" w:rsidRPr="00885E52" w:rsidRDefault="00885E52" w:rsidP="00A1548E">
            <w:pPr>
              <w:autoSpaceDE w:val="0"/>
              <w:autoSpaceDN w:val="0"/>
              <w:adjustRightInd w:val="0"/>
              <w:jc w:val="both"/>
              <w:rPr>
                <w:rFonts w:ascii="Arial" w:hAnsi="Arial" w:cs="Arial"/>
                <w:b/>
                <w:bCs/>
                <w:color w:val="231F20"/>
              </w:rPr>
            </w:pPr>
            <w:r w:rsidRPr="00885E52">
              <w:rPr>
                <w:rFonts w:ascii="Arial" w:hAnsi="Arial" w:cs="Arial"/>
                <w:b/>
                <w:color w:val="231F20"/>
              </w:rPr>
              <w:t>Company Contact Details</w:t>
            </w:r>
          </w:p>
        </w:tc>
      </w:tr>
      <w:tr w:rsidR="00885E52" w:rsidRPr="00885E52" w:rsidTr="00A1548E">
        <w:tc>
          <w:tcPr>
            <w:tcW w:w="5211" w:type="dxa"/>
          </w:tcPr>
          <w:p w:rsidR="00885E52" w:rsidRPr="00885E52" w:rsidRDefault="00885E52" w:rsidP="00A1548E">
            <w:pPr>
              <w:autoSpaceDE w:val="0"/>
              <w:autoSpaceDN w:val="0"/>
              <w:adjustRightInd w:val="0"/>
              <w:jc w:val="both"/>
              <w:rPr>
                <w:rFonts w:ascii="Arial" w:hAnsi="Arial" w:cs="Arial"/>
                <w:color w:val="231F20"/>
              </w:rPr>
            </w:pPr>
            <w:r w:rsidRPr="00885E52">
              <w:rPr>
                <w:rFonts w:ascii="Arial" w:hAnsi="Arial" w:cs="Arial"/>
                <w:color w:val="231F20"/>
              </w:rPr>
              <w:t xml:space="preserve">Customer Name: </w:t>
            </w:r>
          </w:p>
          <w:p w:rsidR="00885E52" w:rsidRPr="00885E52" w:rsidRDefault="00885E52" w:rsidP="00A1548E">
            <w:pPr>
              <w:autoSpaceDE w:val="0"/>
              <w:autoSpaceDN w:val="0"/>
              <w:adjustRightInd w:val="0"/>
              <w:jc w:val="both"/>
              <w:rPr>
                <w:rFonts w:ascii="Arial" w:hAnsi="Arial" w:cs="Arial"/>
                <w:color w:val="231F20"/>
              </w:rPr>
            </w:pPr>
          </w:p>
        </w:tc>
        <w:tc>
          <w:tcPr>
            <w:tcW w:w="3645" w:type="dxa"/>
          </w:tcPr>
          <w:p w:rsidR="00885E52" w:rsidRPr="00885E52" w:rsidRDefault="00885E52" w:rsidP="00A1548E">
            <w:pPr>
              <w:autoSpaceDE w:val="0"/>
              <w:autoSpaceDN w:val="0"/>
              <w:adjustRightInd w:val="0"/>
              <w:jc w:val="both"/>
              <w:rPr>
                <w:rFonts w:ascii="Arial" w:hAnsi="Arial" w:cs="Arial"/>
                <w:color w:val="231F20"/>
              </w:rPr>
            </w:pPr>
            <w:r w:rsidRPr="00885E52">
              <w:rPr>
                <w:rFonts w:ascii="Arial" w:hAnsi="Arial" w:cs="Arial"/>
                <w:color w:val="231F20"/>
              </w:rPr>
              <w:t>Name</w:t>
            </w:r>
          </w:p>
          <w:p w:rsidR="00885E52" w:rsidRPr="00885E52" w:rsidRDefault="00885E52" w:rsidP="00A1548E">
            <w:pPr>
              <w:autoSpaceDE w:val="0"/>
              <w:autoSpaceDN w:val="0"/>
              <w:adjustRightInd w:val="0"/>
              <w:jc w:val="both"/>
              <w:rPr>
                <w:rFonts w:ascii="Arial" w:hAnsi="Arial" w:cs="Arial"/>
                <w:color w:val="231F20"/>
              </w:rPr>
            </w:pPr>
          </w:p>
        </w:tc>
      </w:tr>
      <w:tr w:rsidR="00885E52" w:rsidRPr="00885E52" w:rsidTr="00A1548E">
        <w:tc>
          <w:tcPr>
            <w:tcW w:w="5211" w:type="dxa"/>
          </w:tcPr>
          <w:p w:rsidR="00885E52" w:rsidRPr="00885E52" w:rsidRDefault="00885E52" w:rsidP="00A1548E">
            <w:pPr>
              <w:autoSpaceDE w:val="0"/>
              <w:autoSpaceDN w:val="0"/>
              <w:adjustRightInd w:val="0"/>
              <w:jc w:val="both"/>
              <w:rPr>
                <w:rFonts w:ascii="Arial" w:hAnsi="Arial" w:cs="Arial"/>
                <w:color w:val="231F20"/>
              </w:rPr>
            </w:pPr>
            <w:r w:rsidRPr="00885E52">
              <w:rPr>
                <w:rFonts w:ascii="Arial" w:hAnsi="Arial" w:cs="Arial"/>
                <w:color w:val="231F20"/>
              </w:rPr>
              <w:t xml:space="preserve">Customer Address: </w:t>
            </w:r>
          </w:p>
          <w:p w:rsidR="00885E52" w:rsidRPr="00885E52" w:rsidRDefault="00885E52" w:rsidP="00A1548E">
            <w:pPr>
              <w:autoSpaceDE w:val="0"/>
              <w:autoSpaceDN w:val="0"/>
              <w:adjustRightInd w:val="0"/>
              <w:jc w:val="both"/>
              <w:rPr>
                <w:rFonts w:ascii="Arial" w:hAnsi="Arial" w:cs="Arial"/>
                <w:color w:val="231F20"/>
              </w:rPr>
            </w:pPr>
          </w:p>
        </w:tc>
        <w:tc>
          <w:tcPr>
            <w:tcW w:w="3645" w:type="dxa"/>
          </w:tcPr>
          <w:p w:rsidR="00885E52" w:rsidRPr="00885E52" w:rsidRDefault="00885E52" w:rsidP="00A1548E">
            <w:pPr>
              <w:autoSpaceDE w:val="0"/>
              <w:autoSpaceDN w:val="0"/>
              <w:adjustRightInd w:val="0"/>
              <w:jc w:val="both"/>
              <w:rPr>
                <w:rFonts w:ascii="Arial" w:hAnsi="Arial" w:cs="Arial"/>
                <w:color w:val="231F20"/>
              </w:rPr>
            </w:pPr>
            <w:r w:rsidRPr="00885E52">
              <w:rPr>
                <w:rFonts w:ascii="Arial" w:hAnsi="Arial" w:cs="Arial"/>
                <w:color w:val="231F20"/>
              </w:rPr>
              <w:t>Company</w:t>
            </w:r>
          </w:p>
          <w:p w:rsidR="00885E52" w:rsidRPr="00885E52" w:rsidRDefault="00885E52" w:rsidP="00A1548E">
            <w:pPr>
              <w:autoSpaceDE w:val="0"/>
              <w:autoSpaceDN w:val="0"/>
              <w:adjustRightInd w:val="0"/>
              <w:jc w:val="both"/>
              <w:rPr>
                <w:rFonts w:ascii="Arial" w:hAnsi="Arial" w:cs="Arial"/>
                <w:color w:val="231F20"/>
              </w:rPr>
            </w:pPr>
          </w:p>
        </w:tc>
      </w:tr>
      <w:tr w:rsidR="00885E52" w:rsidRPr="00885E52" w:rsidTr="00A1548E">
        <w:tc>
          <w:tcPr>
            <w:tcW w:w="5211" w:type="dxa"/>
          </w:tcPr>
          <w:p w:rsidR="00885E52" w:rsidRPr="00885E52" w:rsidRDefault="00885E52" w:rsidP="00A1548E">
            <w:pPr>
              <w:autoSpaceDE w:val="0"/>
              <w:autoSpaceDN w:val="0"/>
              <w:adjustRightInd w:val="0"/>
              <w:jc w:val="both"/>
              <w:rPr>
                <w:rFonts w:ascii="Arial" w:hAnsi="Arial" w:cs="Arial"/>
                <w:color w:val="231F20"/>
              </w:rPr>
            </w:pPr>
            <w:r w:rsidRPr="00885E52">
              <w:rPr>
                <w:rFonts w:ascii="Arial" w:hAnsi="Arial" w:cs="Arial"/>
                <w:color w:val="231F20"/>
              </w:rPr>
              <w:t xml:space="preserve">Postcode: </w:t>
            </w:r>
          </w:p>
          <w:p w:rsidR="00885E52" w:rsidRPr="00885E52" w:rsidRDefault="00885E52" w:rsidP="00A1548E">
            <w:pPr>
              <w:autoSpaceDE w:val="0"/>
              <w:autoSpaceDN w:val="0"/>
              <w:adjustRightInd w:val="0"/>
              <w:jc w:val="both"/>
              <w:rPr>
                <w:rFonts w:ascii="Arial" w:hAnsi="Arial" w:cs="Arial"/>
                <w:color w:val="231F20"/>
              </w:rPr>
            </w:pPr>
          </w:p>
        </w:tc>
        <w:tc>
          <w:tcPr>
            <w:tcW w:w="3645" w:type="dxa"/>
          </w:tcPr>
          <w:p w:rsidR="00885E52" w:rsidRPr="00885E52" w:rsidRDefault="00885E52" w:rsidP="00A1548E">
            <w:pPr>
              <w:autoSpaceDE w:val="0"/>
              <w:autoSpaceDN w:val="0"/>
              <w:adjustRightInd w:val="0"/>
              <w:jc w:val="both"/>
              <w:rPr>
                <w:rFonts w:ascii="Arial" w:hAnsi="Arial" w:cs="Arial"/>
                <w:color w:val="231F20"/>
              </w:rPr>
            </w:pPr>
            <w:r w:rsidRPr="00885E52">
              <w:rPr>
                <w:rFonts w:ascii="Arial" w:hAnsi="Arial" w:cs="Arial"/>
                <w:color w:val="231F20"/>
              </w:rPr>
              <w:t xml:space="preserve">Date raised - </w:t>
            </w:r>
          </w:p>
          <w:p w:rsidR="00885E52" w:rsidRPr="00885E52" w:rsidRDefault="00885E52" w:rsidP="00A1548E">
            <w:pPr>
              <w:autoSpaceDE w:val="0"/>
              <w:autoSpaceDN w:val="0"/>
              <w:adjustRightInd w:val="0"/>
              <w:jc w:val="both"/>
              <w:rPr>
                <w:rFonts w:ascii="Arial" w:hAnsi="Arial" w:cs="Arial"/>
                <w:color w:val="231F20"/>
              </w:rPr>
            </w:pPr>
          </w:p>
        </w:tc>
      </w:tr>
      <w:tr w:rsidR="00885E52" w:rsidRPr="00885E52" w:rsidTr="00A1548E">
        <w:tc>
          <w:tcPr>
            <w:tcW w:w="5211" w:type="dxa"/>
          </w:tcPr>
          <w:p w:rsidR="00885E52" w:rsidRPr="00885E52" w:rsidRDefault="00885E52" w:rsidP="00A1548E">
            <w:pPr>
              <w:autoSpaceDE w:val="0"/>
              <w:autoSpaceDN w:val="0"/>
              <w:adjustRightInd w:val="0"/>
              <w:jc w:val="both"/>
              <w:rPr>
                <w:rFonts w:ascii="Arial" w:hAnsi="Arial" w:cs="Arial"/>
                <w:color w:val="231F20"/>
              </w:rPr>
            </w:pPr>
          </w:p>
        </w:tc>
        <w:tc>
          <w:tcPr>
            <w:tcW w:w="3645" w:type="dxa"/>
          </w:tcPr>
          <w:p w:rsidR="00885E52" w:rsidRPr="00885E52" w:rsidRDefault="00885E52" w:rsidP="00A1548E">
            <w:pPr>
              <w:autoSpaceDE w:val="0"/>
              <w:autoSpaceDN w:val="0"/>
              <w:adjustRightInd w:val="0"/>
              <w:jc w:val="both"/>
              <w:rPr>
                <w:rFonts w:ascii="Arial" w:hAnsi="Arial" w:cs="Arial"/>
                <w:color w:val="231F20"/>
              </w:rPr>
            </w:pPr>
            <w:r w:rsidRPr="00885E52">
              <w:rPr>
                <w:rFonts w:ascii="Arial" w:hAnsi="Arial" w:cs="Arial"/>
                <w:color w:val="231F20"/>
              </w:rPr>
              <w:t>Contact Tel Number</w:t>
            </w:r>
          </w:p>
          <w:p w:rsidR="00885E52" w:rsidRPr="00885E52" w:rsidRDefault="00885E52" w:rsidP="00A1548E">
            <w:pPr>
              <w:autoSpaceDE w:val="0"/>
              <w:autoSpaceDN w:val="0"/>
              <w:adjustRightInd w:val="0"/>
              <w:jc w:val="both"/>
              <w:rPr>
                <w:rFonts w:ascii="Arial" w:hAnsi="Arial" w:cs="Arial"/>
                <w:color w:val="231F20"/>
              </w:rPr>
            </w:pPr>
          </w:p>
        </w:tc>
      </w:tr>
    </w:tbl>
    <w:p w:rsidR="00885E52" w:rsidRPr="00885E52" w:rsidRDefault="00885E52" w:rsidP="00885E52">
      <w:pPr>
        <w:autoSpaceDE w:val="0"/>
        <w:autoSpaceDN w:val="0"/>
        <w:adjustRightInd w:val="0"/>
        <w:jc w:val="both"/>
        <w:rPr>
          <w:rFonts w:ascii="Arial" w:hAnsi="Arial" w:cs="Arial"/>
          <w:b/>
          <w:bCs/>
          <w:color w:val="231F20"/>
        </w:rPr>
      </w:pPr>
    </w:p>
    <w:p w:rsidR="00885E52" w:rsidRPr="00885E52" w:rsidRDefault="00885E52" w:rsidP="00885E52">
      <w:pPr>
        <w:autoSpaceDE w:val="0"/>
        <w:autoSpaceDN w:val="0"/>
        <w:adjustRightInd w:val="0"/>
        <w:jc w:val="both"/>
        <w:rPr>
          <w:rFonts w:ascii="Arial" w:hAnsi="Arial" w:cs="Arial"/>
          <w:b/>
          <w:bCs/>
          <w:color w:val="231F20"/>
        </w:rPr>
      </w:pPr>
      <w:r w:rsidRPr="00885E52">
        <w:rPr>
          <w:rFonts w:ascii="Arial" w:hAnsi="Arial" w:cs="Arial"/>
          <w:b/>
          <w:color w:val="231F20"/>
        </w:rPr>
        <w:t>Extra Help Unit complaint reference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85E52" w:rsidRPr="00885E52" w:rsidTr="00A1548E">
        <w:tc>
          <w:tcPr>
            <w:tcW w:w="8856" w:type="dxa"/>
          </w:tcPr>
          <w:p w:rsidR="00885E52" w:rsidRPr="00885E52" w:rsidRDefault="00885E52" w:rsidP="00A1548E">
            <w:pPr>
              <w:autoSpaceDE w:val="0"/>
              <w:autoSpaceDN w:val="0"/>
              <w:adjustRightInd w:val="0"/>
              <w:jc w:val="both"/>
              <w:rPr>
                <w:rFonts w:ascii="Arial" w:hAnsi="Arial" w:cs="Arial"/>
                <w:color w:val="231F20"/>
              </w:rPr>
            </w:pPr>
          </w:p>
        </w:tc>
      </w:tr>
    </w:tbl>
    <w:p w:rsidR="00885E52" w:rsidRPr="00885E52" w:rsidRDefault="00885E52" w:rsidP="00885E52">
      <w:pPr>
        <w:autoSpaceDE w:val="0"/>
        <w:autoSpaceDN w:val="0"/>
        <w:adjustRightInd w:val="0"/>
        <w:jc w:val="both"/>
        <w:rPr>
          <w:rFonts w:ascii="Arial" w:hAnsi="Arial" w:cs="Arial"/>
          <w:b/>
          <w:bCs/>
          <w:color w:val="231F20"/>
        </w:rPr>
      </w:pPr>
    </w:p>
    <w:p w:rsidR="00885E52" w:rsidRPr="00885E52" w:rsidRDefault="00885E52" w:rsidP="00885E52">
      <w:pPr>
        <w:autoSpaceDE w:val="0"/>
        <w:autoSpaceDN w:val="0"/>
        <w:adjustRightInd w:val="0"/>
        <w:jc w:val="both"/>
        <w:rPr>
          <w:rFonts w:ascii="Arial" w:hAnsi="Arial" w:cs="Arial"/>
          <w:b/>
          <w:bCs/>
          <w:color w:val="231F20"/>
        </w:rPr>
      </w:pPr>
      <w:r w:rsidRPr="00885E52">
        <w:rPr>
          <w:rFonts w:ascii="Arial" w:hAnsi="Arial" w:cs="Arial"/>
          <w:b/>
          <w:color w:val="231F20"/>
        </w:rPr>
        <w:t>Please indicate reason for disputing the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85E52" w:rsidRPr="00885E52" w:rsidTr="00A1548E">
        <w:tc>
          <w:tcPr>
            <w:tcW w:w="8856" w:type="dxa"/>
          </w:tcPr>
          <w:p w:rsidR="00885E52" w:rsidRPr="00885E52" w:rsidRDefault="00885E52" w:rsidP="00A1548E">
            <w:pPr>
              <w:pStyle w:val="PlainText"/>
              <w:jc w:val="both"/>
              <w:rPr>
                <w:rFonts w:ascii="Arial" w:hAnsi="Arial" w:cs="Arial"/>
                <w:sz w:val="24"/>
                <w:szCs w:val="24"/>
                <w:u w:val="single"/>
              </w:rPr>
            </w:pPr>
          </w:p>
          <w:p w:rsidR="00885E52" w:rsidRPr="00885E52" w:rsidRDefault="00885E52" w:rsidP="00885E52">
            <w:pPr>
              <w:pStyle w:val="PlainText"/>
              <w:numPr>
                <w:ilvl w:val="0"/>
                <w:numId w:val="5"/>
              </w:numPr>
              <w:spacing w:after="0"/>
              <w:jc w:val="both"/>
              <w:rPr>
                <w:rFonts w:ascii="Arial" w:hAnsi="Arial" w:cs="Arial"/>
                <w:sz w:val="24"/>
                <w:szCs w:val="24"/>
              </w:rPr>
            </w:pPr>
            <w:r w:rsidRPr="00885E52">
              <w:rPr>
                <w:rFonts w:ascii="Arial" w:hAnsi="Arial" w:cs="Arial"/>
                <w:sz w:val="24"/>
                <w:szCs w:val="24"/>
              </w:rPr>
              <w:t xml:space="preserve">The categorisation is incorrect. </w:t>
            </w:r>
          </w:p>
          <w:p w:rsidR="00885E52" w:rsidRPr="00885E52" w:rsidRDefault="00885E52" w:rsidP="00885E52">
            <w:pPr>
              <w:pStyle w:val="PlainText"/>
              <w:numPr>
                <w:ilvl w:val="0"/>
                <w:numId w:val="5"/>
              </w:numPr>
              <w:spacing w:after="0"/>
              <w:jc w:val="both"/>
              <w:rPr>
                <w:rFonts w:ascii="Arial" w:hAnsi="Arial" w:cs="Arial"/>
                <w:sz w:val="24"/>
                <w:szCs w:val="24"/>
              </w:rPr>
            </w:pPr>
            <w:r w:rsidRPr="00885E52">
              <w:rPr>
                <w:rFonts w:ascii="Arial" w:hAnsi="Arial" w:cs="Arial"/>
                <w:sz w:val="24"/>
                <w:szCs w:val="24"/>
              </w:rPr>
              <w:t xml:space="preserve">The company has not had a reasonable opportunity to resolve the matter. </w:t>
            </w:r>
          </w:p>
          <w:p w:rsidR="00885E52" w:rsidRPr="00885E52" w:rsidRDefault="00885E52" w:rsidP="00885E52">
            <w:pPr>
              <w:pStyle w:val="PlainText"/>
              <w:numPr>
                <w:ilvl w:val="0"/>
                <w:numId w:val="5"/>
              </w:numPr>
              <w:spacing w:after="0"/>
              <w:jc w:val="both"/>
              <w:rPr>
                <w:rFonts w:ascii="Arial" w:hAnsi="Arial" w:cs="Arial"/>
                <w:sz w:val="24"/>
                <w:szCs w:val="24"/>
              </w:rPr>
            </w:pPr>
            <w:r w:rsidRPr="00885E52">
              <w:rPr>
                <w:rFonts w:ascii="Arial" w:hAnsi="Arial" w:cs="Arial"/>
                <w:sz w:val="24"/>
                <w:szCs w:val="24"/>
              </w:rPr>
              <w:t xml:space="preserve">The complaint has been logged against the wrong company. </w:t>
            </w:r>
          </w:p>
          <w:p w:rsidR="00885E52" w:rsidRPr="00885E52" w:rsidRDefault="00885E52" w:rsidP="00885E52">
            <w:pPr>
              <w:pStyle w:val="PlainText"/>
              <w:numPr>
                <w:ilvl w:val="0"/>
                <w:numId w:val="5"/>
              </w:numPr>
              <w:spacing w:after="0"/>
              <w:jc w:val="both"/>
              <w:rPr>
                <w:rFonts w:ascii="Arial" w:hAnsi="Arial" w:cs="Arial"/>
                <w:sz w:val="24"/>
                <w:szCs w:val="24"/>
                <w:u w:val="single"/>
              </w:rPr>
            </w:pPr>
            <w:r w:rsidRPr="00885E52">
              <w:rPr>
                <w:rFonts w:ascii="Arial" w:hAnsi="Arial" w:cs="Arial"/>
                <w:sz w:val="24"/>
                <w:szCs w:val="24"/>
              </w:rPr>
              <w:t xml:space="preserve">The complaint involves a further incidence of meter interference. </w:t>
            </w:r>
          </w:p>
          <w:p w:rsidR="00885E52" w:rsidRPr="00885E52" w:rsidRDefault="00885E52" w:rsidP="00885E52">
            <w:pPr>
              <w:pStyle w:val="PlainText"/>
              <w:numPr>
                <w:ilvl w:val="0"/>
                <w:numId w:val="5"/>
              </w:numPr>
              <w:spacing w:after="0"/>
              <w:jc w:val="both"/>
              <w:rPr>
                <w:rFonts w:ascii="Arial" w:hAnsi="Arial" w:cs="Arial"/>
                <w:sz w:val="24"/>
                <w:szCs w:val="24"/>
                <w:u w:val="single"/>
              </w:rPr>
            </w:pPr>
            <w:r w:rsidRPr="00885E52">
              <w:rPr>
                <w:rFonts w:ascii="Arial" w:hAnsi="Arial" w:cs="Arial"/>
                <w:sz w:val="24"/>
                <w:szCs w:val="24"/>
              </w:rPr>
              <w:t>The complaint involves a third request for discretionary credit within a 12 month period</w:t>
            </w: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r w:rsidRPr="00885E52">
              <w:rPr>
                <w:rFonts w:ascii="Arial" w:hAnsi="Arial" w:cs="Arial"/>
                <w:color w:val="231F20"/>
              </w:rPr>
              <w:t>Please fully explain reason you are disputing the complaint and ensure that you attach relevant documents supporting the dispute.</w:t>
            </w: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p w:rsidR="00885E52" w:rsidRPr="00885E52" w:rsidRDefault="00885E52" w:rsidP="00A1548E">
            <w:pPr>
              <w:autoSpaceDE w:val="0"/>
              <w:autoSpaceDN w:val="0"/>
              <w:adjustRightInd w:val="0"/>
              <w:jc w:val="both"/>
              <w:rPr>
                <w:rFonts w:ascii="Arial" w:hAnsi="Arial" w:cs="Arial"/>
                <w:color w:val="231F20"/>
              </w:rPr>
            </w:pPr>
          </w:p>
        </w:tc>
      </w:tr>
    </w:tbl>
    <w:p w:rsidR="00885E52" w:rsidRPr="00885E52" w:rsidRDefault="00885E52" w:rsidP="00885E52">
      <w:pPr>
        <w:autoSpaceDE w:val="0"/>
        <w:autoSpaceDN w:val="0"/>
        <w:adjustRightInd w:val="0"/>
        <w:jc w:val="both"/>
        <w:rPr>
          <w:rFonts w:ascii="Arial" w:hAnsi="Arial" w:cs="Arial"/>
          <w:b/>
          <w:bCs/>
          <w:color w:val="231F20"/>
          <w:sz w:val="28"/>
          <w:szCs w:val="28"/>
        </w:rPr>
      </w:pPr>
    </w:p>
    <w:p w:rsidR="00885E52" w:rsidRPr="00885E52" w:rsidRDefault="00885E52" w:rsidP="00885E52">
      <w:pPr>
        <w:autoSpaceDE w:val="0"/>
        <w:autoSpaceDN w:val="0"/>
        <w:adjustRightInd w:val="0"/>
        <w:jc w:val="both"/>
        <w:rPr>
          <w:rFonts w:ascii="Arial" w:hAnsi="Arial" w:cs="Arial"/>
          <w:b/>
          <w:sz w:val="28"/>
          <w:szCs w:val="28"/>
        </w:rPr>
      </w:pPr>
    </w:p>
    <w:p w:rsidR="00885E52" w:rsidRPr="00885E52" w:rsidRDefault="00885E52" w:rsidP="00885E52">
      <w:pPr>
        <w:autoSpaceDE w:val="0"/>
        <w:autoSpaceDN w:val="0"/>
        <w:adjustRightInd w:val="0"/>
        <w:jc w:val="both"/>
        <w:rPr>
          <w:rFonts w:ascii="Arial" w:hAnsi="Arial" w:cs="Arial"/>
          <w:b/>
          <w:bCs/>
          <w:sz w:val="28"/>
          <w:szCs w:val="28"/>
        </w:rPr>
      </w:pPr>
      <w:r w:rsidRPr="00885E52">
        <w:rPr>
          <w:rFonts w:ascii="Arial" w:hAnsi="Arial" w:cs="Arial"/>
          <w:b/>
          <w:sz w:val="28"/>
          <w:szCs w:val="28"/>
        </w:rPr>
        <w:t>Extra Help Unit Response</w:t>
      </w:r>
      <w:bookmarkStart w:id="2" w:name="_GoBack"/>
      <w:bookmarkEnd w:id="2"/>
    </w:p>
    <w:p w:rsidR="00885E52" w:rsidRPr="00885E52" w:rsidRDefault="00885E52" w:rsidP="00885E52">
      <w:pPr>
        <w:autoSpaceDE w:val="0"/>
        <w:autoSpaceDN w:val="0"/>
        <w:adjustRightInd w:val="0"/>
        <w:jc w:val="both"/>
        <w:rPr>
          <w:rFonts w:ascii="Arial" w:hAnsi="Arial" w:cs="Arial"/>
          <w:b/>
          <w:bCs/>
          <w:color w:val="231F20"/>
        </w:rPr>
      </w:pPr>
      <w:r w:rsidRPr="00885E52">
        <w:rPr>
          <w:rFonts w:ascii="Arial" w:hAnsi="Arial" w:cs="Arial"/>
          <w:b/>
          <w:color w:val="231F20"/>
        </w:rPr>
        <w:t>FROM (Team Manager’s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85E52" w:rsidRPr="00885E52" w:rsidTr="00A1548E">
        <w:tc>
          <w:tcPr>
            <w:tcW w:w="8856" w:type="dxa"/>
          </w:tcPr>
          <w:p w:rsidR="00885E52" w:rsidRPr="00885E52" w:rsidRDefault="00885E52" w:rsidP="00A1548E">
            <w:pPr>
              <w:autoSpaceDE w:val="0"/>
              <w:autoSpaceDN w:val="0"/>
              <w:adjustRightInd w:val="0"/>
              <w:jc w:val="both"/>
              <w:rPr>
                <w:rFonts w:ascii="Arial" w:hAnsi="Arial" w:cs="Arial"/>
                <w:i/>
                <w:iCs/>
                <w:color w:val="231F20"/>
              </w:rPr>
            </w:pPr>
          </w:p>
        </w:tc>
      </w:tr>
    </w:tbl>
    <w:p w:rsidR="00885E52" w:rsidRPr="00885E52" w:rsidRDefault="00885E52" w:rsidP="00885E52">
      <w:pPr>
        <w:autoSpaceDE w:val="0"/>
        <w:autoSpaceDN w:val="0"/>
        <w:adjustRightInd w:val="0"/>
        <w:jc w:val="both"/>
        <w:rPr>
          <w:rFonts w:ascii="Arial" w:hAnsi="Arial" w:cs="Arial"/>
          <w:b/>
          <w:bCs/>
          <w:color w:val="231F20"/>
        </w:rPr>
      </w:pPr>
    </w:p>
    <w:p w:rsidR="00885E52" w:rsidRPr="00885E52" w:rsidRDefault="00885E52" w:rsidP="00885E52">
      <w:pPr>
        <w:autoSpaceDE w:val="0"/>
        <w:autoSpaceDN w:val="0"/>
        <w:adjustRightInd w:val="0"/>
        <w:jc w:val="both"/>
        <w:rPr>
          <w:rFonts w:ascii="Arial" w:hAnsi="Arial" w:cs="Arial"/>
          <w:b/>
          <w:bCs/>
          <w:color w:val="231F20"/>
        </w:rPr>
      </w:pPr>
      <w:r w:rsidRPr="00885E52">
        <w:rPr>
          <w:rFonts w:ascii="Arial" w:hAnsi="Arial" w:cs="Arial"/>
          <w:b/>
          <w:color w:val="231F20"/>
        </w:rPr>
        <w:t>TO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85E52" w:rsidRPr="00885E52" w:rsidTr="00A1548E">
        <w:tc>
          <w:tcPr>
            <w:tcW w:w="8856" w:type="dxa"/>
          </w:tcPr>
          <w:p w:rsidR="00885E52" w:rsidRPr="00885E52" w:rsidRDefault="00885E52" w:rsidP="00A1548E">
            <w:pPr>
              <w:autoSpaceDE w:val="0"/>
              <w:autoSpaceDN w:val="0"/>
              <w:adjustRightInd w:val="0"/>
              <w:jc w:val="both"/>
              <w:rPr>
                <w:rFonts w:ascii="Arial" w:hAnsi="Arial" w:cs="Arial"/>
                <w:i/>
                <w:iCs/>
                <w:color w:val="231F20"/>
              </w:rPr>
            </w:pPr>
          </w:p>
        </w:tc>
      </w:tr>
    </w:tbl>
    <w:p w:rsidR="00885E52" w:rsidRPr="00885E52" w:rsidRDefault="00885E52" w:rsidP="00885E52">
      <w:pPr>
        <w:autoSpaceDE w:val="0"/>
        <w:autoSpaceDN w:val="0"/>
        <w:adjustRightInd w:val="0"/>
        <w:jc w:val="both"/>
        <w:rPr>
          <w:rFonts w:ascii="Arial" w:hAnsi="Arial" w:cs="Arial"/>
          <w:b/>
          <w:bCs/>
          <w:color w:val="231F20"/>
        </w:rPr>
      </w:pPr>
    </w:p>
    <w:p w:rsidR="00885E52" w:rsidRPr="00885E52" w:rsidRDefault="00885E52" w:rsidP="00885E52">
      <w:pPr>
        <w:autoSpaceDE w:val="0"/>
        <w:autoSpaceDN w:val="0"/>
        <w:adjustRightInd w:val="0"/>
        <w:jc w:val="both"/>
        <w:rPr>
          <w:rFonts w:ascii="Arial" w:hAnsi="Arial" w:cs="Arial"/>
          <w:b/>
          <w:bCs/>
          <w:color w:val="231F20"/>
        </w:rPr>
      </w:pPr>
      <w:r w:rsidRPr="00885E52">
        <w:rPr>
          <w:rFonts w:ascii="Arial" w:hAnsi="Arial" w:cs="Arial"/>
          <w:b/>
          <w:color w:val="231F20"/>
        </w:rPr>
        <w:t>Response to your dispute, reasons and action taken:</w:t>
      </w:r>
    </w:p>
    <w:p w:rsidR="00885E52" w:rsidRPr="00885E52" w:rsidRDefault="00885E52" w:rsidP="00885E52">
      <w:pPr>
        <w:autoSpaceDE w:val="0"/>
        <w:autoSpaceDN w:val="0"/>
        <w:adjustRightInd w:val="0"/>
        <w:jc w:val="both"/>
        <w:rPr>
          <w:rFonts w:ascii="Arial" w:hAnsi="Arial" w:cs="Arial"/>
          <w:b/>
          <w:color w:val="231F20"/>
        </w:rPr>
      </w:pPr>
    </w:p>
    <w:p w:rsidR="00885E52" w:rsidRPr="00885E52" w:rsidRDefault="00885E52" w:rsidP="00885E52">
      <w:pPr>
        <w:autoSpaceDE w:val="0"/>
        <w:autoSpaceDN w:val="0"/>
        <w:adjustRightInd w:val="0"/>
        <w:jc w:val="both"/>
        <w:rPr>
          <w:rFonts w:ascii="Arial" w:hAnsi="Arial" w:cs="Arial"/>
          <w:b/>
          <w:bCs/>
          <w:color w:val="231F20"/>
        </w:rPr>
      </w:pPr>
      <w:r w:rsidRPr="00885E52">
        <w:rPr>
          <w:rFonts w:ascii="Arial" w:hAnsi="Arial" w:cs="Arial"/>
          <w:b/>
          <w:color w:val="231F20"/>
        </w:rPr>
        <w:t>Complaint stands/amended/withdrawn/assigned to another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85E52" w:rsidRPr="00885E52" w:rsidTr="00A1548E">
        <w:tc>
          <w:tcPr>
            <w:tcW w:w="8856" w:type="dxa"/>
          </w:tcPr>
          <w:p w:rsidR="00885E52" w:rsidRPr="00885E52" w:rsidRDefault="00885E52" w:rsidP="00A1548E">
            <w:pPr>
              <w:autoSpaceDE w:val="0"/>
              <w:autoSpaceDN w:val="0"/>
              <w:adjustRightInd w:val="0"/>
              <w:jc w:val="both"/>
              <w:rPr>
                <w:rFonts w:ascii="Arial" w:hAnsi="Arial" w:cs="Arial"/>
                <w:i/>
                <w:iCs/>
                <w:color w:val="231F20"/>
              </w:rPr>
            </w:pPr>
          </w:p>
        </w:tc>
      </w:tr>
    </w:tbl>
    <w:p w:rsidR="00885E52" w:rsidRPr="00885E52" w:rsidRDefault="00885E52" w:rsidP="00885E52">
      <w:pPr>
        <w:autoSpaceDE w:val="0"/>
        <w:autoSpaceDN w:val="0"/>
        <w:adjustRightInd w:val="0"/>
        <w:jc w:val="both"/>
        <w:rPr>
          <w:rFonts w:ascii="Arial" w:hAnsi="Arial" w:cs="Arial"/>
          <w:b/>
          <w:color w:val="231F20"/>
        </w:rPr>
      </w:pPr>
    </w:p>
    <w:p w:rsidR="00885E52" w:rsidRPr="00885E52" w:rsidRDefault="00885E52" w:rsidP="00885E52">
      <w:pPr>
        <w:autoSpaceDE w:val="0"/>
        <w:autoSpaceDN w:val="0"/>
        <w:adjustRightInd w:val="0"/>
        <w:jc w:val="both"/>
        <w:rPr>
          <w:rFonts w:ascii="Arial" w:hAnsi="Arial" w:cs="Arial"/>
          <w:b/>
          <w:bCs/>
          <w:color w:val="231F20"/>
        </w:rPr>
      </w:pPr>
      <w:r w:rsidRPr="00885E52">
        <w:rPr>
          <w:rFonts w:ascii="Arial" w:hAnsi="Arial" w:cs="Arial"/>
          <w:b/>
          <w:color w:val="231F20"/>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85E52" w:rsidRPr="00885E52" w:rsidTr="00A1548E">
        <w:tc>
          <w:tcPr>
            <w:tcW w:w="8856" w:type="dxa"/>
          </w:tcPr>
          <w:p w:rsidR="00885E52" w:rsidRPr="00885E52" w:rsidRDefault="00885E52" w:rsidP="00A1548E">
            <w:pPr>
              <w:autoSpaceDE w:val="0"/>
              <w:autoSpaceDN w:val="0"/>
              <w:adjustRightInd w:val="0"/>
              <w:jc w:val="both"/>
              <w:rPr>
                <w:rFonts w:ascii="Arial" w:hAnsi="Arial" w:cs="Arial"/>
                <w:i/>
                <w:iCs/>
                <w:color w:val="231F20"/>
              </w:rPr>
            </w:pPr>
          </w:p>
        </w:tc>
      </w:tr>
    </w:tbl>
    <w:p w:rsidR="00885E52" w:rsidRPr="00885E52" w:rsidRDefault="00885E52" w:rsidP="00E20D40">
      <w:pPr>
        <w:rPr>
          <w:rFonts w:ascii="Arial" w:hAnsi="Arial" w:cs="Arial"/>
        </w:rPr>
      </w:pPr>
    </w:p>
    <w:sectPr w:rsidR="00885E52" w:rsidRPr="00885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7636"/>
    <w:multiLevelType w:val="hybridMultilevel"/>
    <w:tmpl w:val="A502EE80"/>
    <w:lvl w:ilvl="0" w:tplc="78B8CAD2">
      <w:start w:val="1"/>
      <w:numFmt w:val="bullet"/>
      <w:lvlText w:val=""/>
      <w:lvlJc w:val="left"/>
      <w:pPr>
        <w:tabs>
          <w:tab w:val="num" w:pos="360"/>
        </w:tabs>
        <w:ind w:left="360" w:hanging="360"/>
      </w:pPr>
      <w:rPr>
        <w:rFonts w:ascii="Symbol" w:hAnsi="Symbol" w:hint="default"/>
        <w:b/>
        <w:color w:val="00000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DB12504"/>
    <w:multiLevelType w:val="hybridMultilevel"/>
    <w:tmpl w:val="F9167188"/>
    <w:lvl w:ilvl="0" w:tplc="78B8CAD2">
      <w:start w:val="1"/>
      <w:numFmt w:val="bullet"/>
      <w:lvlText w:val=""/>
      <w:lvlJc w:val="left"/>
      <w:pPr>
        <w:tabs>
          <w:tab w:val="num" w:pos="360"/>
        </w:tabs>
        <w:ind w:left="360" w:hanging="360"/>
      </w:pPr>
      <w:rPr>
        <w:rFonts w:ascii="Symbol" w:hAnsi="Symbol" w:hint="default"/>
        <w:b/>
        <w:color w:val="00000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1A76C47"/>
    <w:multiLevelType w:val="multilevel"/>
    <w:tmpl w:val="15ACDB4C"/>
    <w:lvl w:ilvl="0">
      <w:start w:val="1"/>
      <w:numFmt w:val="bullet"/>
      <w:lvlText w:val=""/>
      <w:lvlJc w:val="left"/>
      <w:pPr>
        <w:ind w:left="720" w:hanging="360"/>
      </w:pPr>
      <w:rPr>
        <w:rFonts w:ascii="Symbol" w:hAnsi="Symbol" w:hint="default"/>
        <w:color w:val="005864"/>
        <w:sz w:val="20"/>
      </w:rPr>
    </w:lvl>
    <w:lvl w:ilvl="1">
      <w:start w:val="1"/>
      <w:numFmt w:val="bullet"/>
      <w:lvlText w:val=""/>
      <w:lvlJc w:val="left"/>
      <w:pPr>
        <w:ind w:left="1440" w:hanging="360"/>
      </w:pPr>
      <w:rPr>
        <w:rFonts w:ascii="Symbol" w:hAnsi="Symbol" w:hint="default"/>
        <w:color w:val="005864"/>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55804E9"/>
    <w:multiLevelType w:val="hybridMultilevel"/>
    <w:tmpl w:val="715AE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A5458B"/>
    <w:multiLevelType w:val="hybridMultilevel"/>
    <w:tmpl w:val="4DB2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40"/>
    <w:rsid w:val="006F5A9B"/>
    <w:rsid w:val="00850C5F"/>
    <w:rsid w:val="00885E52"/>
    <w:rsid w:val="00D46E7E"/>
    <w:rsid w:val="00E2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20D40"/>
    <w:pPr>
      <w:spacing w:after="120" w:line="240" w:lineRule="auto"/>
    </w:pPr>
    <w:rPr>
      <w:rFonts w:ascii="Courier New" w:eastAsia="MS Mincho" w:hAnsi="Courier New" w:cs="Courier New"/>
      <w:sz w:val="20"/>
      <w:szCs w:val="20"/>
    </w:rPr>
  </w:style>
  <w:style w:type="character" w:customStyle="1" w:styleId="PlainTextChar">
    <w:name w:val="Plain Text Char"/>
    <w:basedOn w:val="DefaultParagraphFont"/>
    <w:link w:val="PlainText"/>
    <w:rsid w:val="00E20D40"/>
    <w:rPr>
      <w:rFonts w:ascii="Courier New" w:eastAsia="MS Mincho" w:hAnsi="Courier New" w:cs="Courier New"/>
      <w:sz w:val="20"/>
      <w:szCs w:val="20"/>
    </w:rPr>
  </w:style>
  <w:style w:type="paragraph" w:styleId="ListParagraph">
    <w:name w:val="List Paragraph"/>
    <w:basedOn w:val="Normal"/>
    <w:uiPriority w:val="34"/>
    <w:qFormat/>
    <w:rsid w:val="00E20D40"/>
    <w:pPr>
      <w:ind w:left="720"/>
      <w:contextualSpacing/>
    </w:pPr>
  </w:style>
  <w:style w:type="character" w:styleId="Hyperlink">
    <w:name w:val="Hyperlink"/>
    <w:basedOn w:val="DefaultParagraphFont"/>
    <w:uiPriority w:val="99"/>
    <w:rsid w:val="00E20D40"/>
    <w:rPr>
      <w:b/>
      <w:color w:val="9B3784"/>
      <w:u w:val="single"/>
    </w:rPr>
  </w:style>
  <w:style w:type="character" w:styleId="FollowedHyperlink">
    <w:name w:val="FollowedHyperlink"/>
    <w:basedOn w:val="DefaultParagraphFont"/>
    <w:uiPriority w:val="99"/>
    <w:semiHidden/>
    <w:unhideWhenUsed/>
    <w:rsid w:val="00885E52"/>
    <w:rPr>
      <w:color w:val="800080" w:themeColor="followedHyperlink"/>
      <w:u w:val="single"/>
    </w:rPr>
  </w:style>
  <w:style w:type="paragraph" w:styleId="Title">
    <w:name w:val="Title"/>
    <w:basedOn w:val="Normal"/>
    <w:next w:val="Normal"/>
    <w:link w:val="TitleChar"/>
    <w:qFormat/>
    <w:rsid w:val="00885E52"/>
    <w:pPr>
      <w:pBdr>
        <w:bottom w:val="single" w:sz="8" w:space="4" w:color="4F81BD"/>
      </w:pBdr>
      <w:spacing w:after="300" w:line="240" w:lineRule="auto"/>
      <w:contextualSpacing/>
    </w:pPr>
    <w:rPr>
      <w:rFonts w:ascii="Arial" w:eastAsia="MS Gothic" w:hAnsi="Arial" w:cs="Times New Roman"/>
      <w:color w:val="000000"/>
      <w:spacing w:val="5"/>
      <w:kern w:val="28"/>
      <w:sz w:val="52"/>
      <w:szCs w:val="52"/>
    </w:rPr>
  </w:style>
  <w:style w:type="character" w:customStyle="1" w:styleId="TitleChar">
    <w:name w:val="Title Char"/>
    <w:basedOn w:val="DefaultParagraphFont"/>
    <w:link w:val="Title"/>
    <w:rsid w:val="00885E52"/>
    <w:rPr>
      <w:rFonts w:ascii="Arial" w:eastAsia="MS Gothic" w:hAnsi="Arial" w:cs="Times New Roman"/>
      <w:color w:val="000000"/>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20D40"/>
    <w:pPr>
      <w:spacing w:after="120" w:line="240" w:lineRule="auto"/>
    </w:pPr>
    <w:rPr>
      <w:rFonts w:ascii="Courier New" w:eastAsia="MS Mincho" w:hAnsi="Courier New" w:cs="Courier New"/>
      <w:sz w:val="20"/>
      <w:szCs w:val="20"/>
    </w:rPr>
  </w:style>
  <w:style w:type="character" w:customStyle="1" w:styleId="PlainTextChar">
    <w:name w:val="Plain Text Char"/>
    <w:basedOn w:val="DefaultParagraphFont"/>
    <w:link w:val="PlainText"/>
    <w:rsid w:val="00E20D40"/>
    <w:rPr>
      <w:rFonts w:ascii="Courier New" w:eastAsia="MS Mincho" w:hAnsi="Courier New" w:cs="Courier New"/>
      <w:sz w:val="20"/>
      <w:szCs w:val="20"/>
    </w:rPr>
  </w:style>
  <w:style w:type="paragraph" w:styleId="ListParagraph">
    <w:name w:val="List Paragraph"/>
    <w:basedOn w:val="Normal"/>
    <w:uiPriority w:val="34"/>
    <w:qFormat/>
    <w:rsid w:val="00E20D40"/>
    <w:pPr>
      <w:ind w:left="720"/>
      <w:contextualSpacing/>
    </w:pPr>
  </w:style>
  <w:style w:type="character" w:styleId="Hyperlink">
    <w:name w:val="Hyperlink"/>
    <w:basedOn w:val="DefaultParagraphFont"/>
    <w:uiPriority w:val="99"/>
    <w:rsid w:val="00E20D40"/>
    <w:rPr>
      <w:b/>
      <w:color w:val="9B3784"/>
      <w:u w:val="single"/>
    </w:rPr>
  </w:style>
  <w:style w:type="character" w:styleId="FollowedHyperlink">
    <w:name w:val="FollowedHyperlink"/>
    <w:basedOn w:val="DefaultParagraphFont"/>
    <w:uiPriority w:val="99"/>
    <w:semiHidden/>
    <w:unhideWhenUsed/>
    <w:rsid w:val="00885E52"/>
    <w:rPr>
      <w:color w:val="800080" w:themeColor="followedHyperlink"/>
      <w:u w:val="single"/>
    </w:rPr>
  </w:style>
  <w:style w:type="paragraph" w:styleId="Title">
    <w:name w:val="Title"/>
    <w:basedOn w:val="Normal"/>
    <w:next w:val="Normal"/>
    <w:link w:val="TitleChar"/>
    <w:qFormat/>
    <w:rsid w:val="00885E52"/>
    <w:pPr>
      <w:pBdr>
        <w:bottom w:val="single" w:sz="8" w:space="4" w:color="4F81BD"/>
      </w:pBdr>
      <w:spacing w:after="300" w:line="240" w:lineRule="auto"/>
      <w:contextualSpacing/>
    </w:pPr>
    <w:rPr>
      <w:rFonts w:ascii="Arial" w:eastAsia="MS Gothic" w:hAnsi="Arial" w:cs="Times New Roman"/>
      <w:color w:val="000000"/>
      <w:spacing w:val="5"/>
      <w:kern w:val="28"/>
      <w:sz w:val="52"/>
      <w:szCs w:val="52"/>
    </w:rPr>
  </w:style>
  <w:style w:type="character" w:customStyle="1" w:styleId="TitleChar">
    <w:name w:val="Title Char"/>
    <w:basedOn w:val="DefaultParagraphFont"/>
    <w:link w:val="Title"/>
    <w:rsid w:val="00885E52"/>
    <w:rPr>
      <w:rFonts w:ascii="Arial" w:eastAsia="MS Gothic" w:hAnsi="Arial" w:cs="Times New Roman"/>
      <w:color w:val="000000"/>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laints@ehu.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zensadvice.org.uk/Global/Public/Policy%20research/Documents/Policy%20publications/Consumer%20Publications/recommended%20consumer%20codes%20technical%20documen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Cassie</dc:creator>
  <cp:lastModifiedBy>Suzi Cassie</cp:lastModifiedBy>
  <cp:revision>2</cp:revision>
  <dcterms:created xsi:type="dcterms:W3CDTF">2018-03-23T16:33:00Z</dcterms:created>
  <dcterms:modified xsi:type="dcterms:W3CDTF">2018-04-06T09:44:00Z</dcterms:modified>
</cp:coreProperties>
</file>